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WELL (Welltower Inc.) before writing the preview. Let me start by gathering recent filings, earnings materials, and news.Let me read the most recent earnings release and call transcript (Q1 2026) for guidance and trends.I have strong Q1 2026 detail. Let me get recent stock price action and the latest news/analyst sentiment heading into the print.Let me check analyst consensus expectations for the Q2 print via a quick web search.# Welltower (WELL) — Q2 2026 Earnings Preview</w:t>
      </w:r>
    </w:p>
    <w:bookmarkStart w:id="9" w:name="X195255d7ca58a708a92c1fc7924cbbdf4042999"/>
    <w:p>
      <w:pPr>
        <w:pStyle w:val="Heading3"/>
      </w:pPr>
      <w:r>
        <w:t xml:space="preserve">Report date: Monday, July 27, 2026 (after close) | 2026Q2 Earnings Call</w:t>
      </w:r>
    </w:p>
    <w:p>
      <w:r>
        <w:pict>
          <v:rect style="width:0;height:1.5pt" o:hralign="center" o:hrstd="t" o:hr="t"/>
        </w:pict>
      </w:r>
    </w:p>
    <w:bookmarkEnd w:id="9"/>
    <w:bookmarkStart w:id="11" w:name="Xfd3118af064f10fb4c96ecd763b98ca1d7a84d9"/>
    <w:p>
      <w:pPr>
        <w:pStyle w:val="Heading2"/>
      </w:pPr>
      <w:r>
        <w:t xml:space="preserve">The Setup: A High-Flying Stock With High Expectations</w:t>
      </w:r>
    </w:p>
    <w:p>
      <w:pPr>
        <w:pStyle w:val="FirstParagraph"/>
      </w:pPr>
      <w:r>
        <w:t xml:space="preserve">Welltower goes into this print as one of the best-performing names in the entire REIT complex, and the stock has priced in a lot of good news. Shares closed at **</w:t>
      </w:r>
      <m:oMath>
        <m:r>
          <m:t>252.11</m:t>
        </m:r>
        <m:r>
          <m:t>o</m:t>
        </m:r>
        <m:r>
          <m:t>n</m:t>
        </m:r>
        <m:r>
          <m:t>J</m:t>
        </m:r>
        <m:r>
          <m:t>u</m:t>
        </m:r>
        <m:r>
          <m:t>l</m:t>
        </m:r>
        <m:r>
          <m:t>y</m:t>
        </m:r>
        <m:r>
          <m:t>24</m:t>
        </m:r>
        <m:r>
          <m:rPr>
            <m:sty m:val="p"/>
          </m:rPr>
          <m:t>*</m:t>
        </m:r>
        <m:r>
          <m:rPr>
            <m:sty m:val="p"/>
          </m:rPr>
          <m:t>*</m:t>
        </m:r>
        <m:r>
          <m:rPr>
            <m:sty m:val="p"/>
          </m:rPr>
          <m:t>,</m:t>
        </m:r>
        <m:r>
          <m:t>u</m:t>
        </m:r>
        <m:r>
          <m:t>p</m:t>
        </m:r>
        <m:r>
          <m:t>r</m:t>
        </m:r>
        <m:r>
          <m:t>o</m:t>
        </m:r>
        <m:r>
          <m:t>u</m:t>
        </m:r>
        <m:r>
          <m:t>g</m:t>
        </m:r>
        <m:r>
          <m:t>h</m:t>
        </m:r>
        <m:r>
          <m:t>l</m:t>
        </m:r>
        <m:r>
          <m:t>y</m:t>
        </m:r>
        <m:r>
          <m:rPr>
            <m:sty m:val="p"/>
          </m:rPr>
          <m:t>*</m:t>
        </m:r>
        <m:r>
          <m:rPr>
            <m:sty m:val="p"/>
          </m:rPr>
          <m:t>*</m:t>
        </m:r>
        <m:r>
          <m:t>35</m:t>
        </m:r>
      </m:oMath>
      <w:r>
        <w:t xml:space="preserve">187 at the start of January) and sitting at/near all-time highs. Notably, the stock has blown through the sell-side's average price target of</w:t>
      </w:r>
      <w:r>
        <w:t xml:space="preserve"> </w:t>
      </w:r>
      <w:r>
        <w:rPr>
          <w:b/>
          <w:bCs/>
        </w:rPr>
        <w:t xml:space="preserve">~$237</w:t>
      </w:r>
      <w:r>
        <w:t xml:space="preserve">, meaning WELL is trading</w:t>
      </w:r>
      <w:r>
        <w:t xml:space="preserve"> </w:t>
      </w:r>
      <w:r>
        <w:rPr>
          <w:i/>
          <w:iCs/>
        </w:rPr>
        <w:t xml:space="preserve">above</w:t>
      </w:r>
      <w:r>
        <w:t xml:space="preserve"> </w:t>
      </w:r>
      <w:r>
        <w:t xml:space="preserve">where the consensus analyst thinks fair value sits — even as the rating remains a "Strong Buy." Analysts give Welltower a "Strong Buy" consensus rating, with an average price target of $237.14, and shares have surged 56.6% over the past 12 months, significantly outperforming the S&amp;P 500's 20.2% gain.</w:t>
      </w:r>
    </w:p>
    <w:p>
      <w:pPr>
        <w:pStyle w:val="BodyText"/>
      </w:pPr>
      <w:r>
        <w:rPr>
          <w:b/>
          <w:bCs/>
        </w:rPr>
        <w:t xml:space="preserve">Bottom line for investors:</w:t>
      </w:r>
      <w:r>
        <w:t xml:space="preserve"> </w:t>
      </w:r>
      <w:r>
        <w:t xml:space="preserve">the fundamental story is arguably the best in the REIT universe, but the valuation and the "beat-and-raise" muscle memory mean the bar is high. This is a name where an in-line quarter could disappoint given the run.</w:t>
      </w:r>
    </w:p>
    <w:bookmarkStart w:id="10" w:name="what-the-street-is-looking-for"/>
    <w:p>
      <w:pPr>
        <w:pStyle w:val="Heading3"/>
      </w:pPr>
      <w:r>
        <w:t xml:space="preserve">What the Street is looking for</w:t>
      </w:r>
    </w:p>
    <w:p>
      <w:pPr>
        <w:pStyle w:val="Compact"/>
        <w:numPr>
          <w:ilvl w:val="0"/>
          <w:numId w:val="1001"/>
        </w:numPr>
      </w:pPr>
      <w:r>
        <w:t xml:space="preserve">Wall Street expects funds from operations of $1.55 per share, representing a 21.1% year-over-year increase, and the company has beaten analyst FFO estimates in each of the last four quarters.</w:t>
      </w:r>
    </w:p>
    <w:p>
      <w:pPr>
        <w:pStyle w:val="Compact"/>
        <w:numPr>
          <w:ilvl w:val="0"/>
          <w:numId w:val="1001"/>
        </w:numPr>
      </w:pPr>
      <w:r>
        <w:t xml:space="preserve">Full-year fiscal 2026 FFO is projected at</w:t>
      </w:r>
      <w:r>
        <w:t xml:space="preserve"> </w:t>
      </w:r>
      <m:oMath>
        <m:r>
          <m:t>6.32</m:t>
        </m:r>
        <m:r>
          <m:t>p</m:t>
        </m:r>
        <m:r>
          <m:t>e</m:t>
        </m:r>
        <m:r>
          <m:t>r</m:t>
        </m:r>
        <m:r>
          <m:t>s</m:t>
        </m:r>
        <m:r>
          <m:t>h</m:t>
        </m:r>
        <m:r>
          <m:t>a</m:t>
        </m:r>
        <m:r>
          <m:t>r</m:t>
        </m:r>
        <m:r>
          <m:t>e</m:t>
        </m:r>
        <m:r>
          <m:rPr>
            <m:sty m:val="p"/>
          </m:rPr>
          <m:t>,</m:t>
        </m:r>
        <m:r>
          <m:t>u</m:t>
        </m:r>
        <m:r>
          <m:t>p</m:t>
        </m:r>
        <m:r>
          <m:t>19.5</m:t>
        </m:r>
      </m:oMath>
      <w:r>
        <w:t xml:space="preserve">6.32 Street number sits toward the</w:t>
      </w:r>
      <w:r>
        <w:t xml:space="preserve"> </w:t>
      </w:r>
      <w:r>
        <w:rPr>
          <w:b/>
          <w:bCs/>
        </w:rPr>
        <w:t xml:space="preserve">upper half of WELL's current</w:t>
      </w:r>
      <w:r>
        <w:rPr>
          <w:b/>
          <w:bCs/>
        </w:rPr>
        <w:t xml:space="preserve"> </w:t>
      </w:r>
      <m:oMath>
        <m:r>
          <m:t>6.21</m:t>
        </m:r>
        <m:r>
          <m:rPr>
            <m:sty m:val="p"/>
          </m:rPr>
          <m:t>–</m:t>
        </m:r>
      </m:oMath>
      <w:r>
        <w:rPr>
          <w:b/>
          <w:bCs/>
        </w:rPr>
        <w:t xml:space="preserve">6.35 guide</w:t>
      </w:r>
      <w:r>
        <w:t xml:space="preserve"> </w:t>
      </w:r>
      <w:r>
        <w:t xml:space="preserve">(midpoint $6.28), so the market is effectively expecting another guidance raise.</w:t>
      </w:r>
    </w:p>
    <w:p>
      <w:r>
        <w:pict>
          <v:rect style="width:0;height:1.5pt" o:hralign="center" o:hrstd="t" o:hr="t"/>
        </w:pict>
      </w:r>
    </w:p>
    <w:bookmarkEnd w:id="10"/>
    <w:bookmarkEnd w:id="11"/>
    <w:bookmarkStart w:id="12" w:name="why-the-q1-print-matters-as-the-baseline"/>
    <w:p>
      <w:pPr>
        <w:pStyle w:val="Heading2"/>
      </w:pPr>
      <w:r>
        <w:t xml:space="preserve">Why the Q1 Print Matters as the Baseline</w:t>
      </w:r>
    </w:p>
    <w:p>
      <w:pPr>
        <w:pStyle w:val="FirstParagraph"/>
      </w:pPr>
      <w:r>
        <w:t xml:space="preserve">Q1 2026 (reported late April) set an extremely high operational bar and is the key reference point:</w:t>
      </w:r>
    </w:p>
    <w:p>
      <w:pPr>
        <w:pStyle w:val="Compact"/>
        <w:numPr>
          <w:ilvl w:val="0"/>
          <w:numId w:val="1002"/>
        </w:numPr>
      </w:pPr>
      <w:r>
        <w:rPr>
          <w:b/>
          <w:bCs/>
        </w:rPr>
        <w:t xml:space="preserve">Normalized FFO of $1.47/share, +22.5% YoY</w:t>
      </w:r>
      <w:r>
        <w:t xml:space="preserve"> </w:t>
      </w:r>
      <w:r>
        <w:t xml:space="preserve">— a beat that drove an $0.11 midpoint guidance raise (to $6.28).</w:t>
      </w:r>
    </w:p>
    <w:p>
      <w:pPr>
        <w:pStyle w:val="Compact"/>
        <w:numPr>
          <w:ilvl w:val="0"/>
          <w:numId w:val="1002"/>
        </w:numPr>
      </w:pPr>
      <w:r>
        <w:rPr>
          <w:b/>
          <w:bCs/>
        </w:rPr>
        <w:t xml:space="preserve">Total portfolio same-store NOI grew 16.4%</w:t>
      </w:r>
      <w:r>
        <w:t xml:space="preserve"> </w:t>
      </w:r>
      <w:r>
        <w:t xml:space="preserve">— management called it</w:t>
      </w:r>
      <w:r>
        <w:t xml:space="preserve"> </w:t>
      </w:r>
      <w:r>
        <w:rPr>
          <w:i/>
          <w:iCs/>
        </w:rPr>
        <w:t xml:space="preserve">"by far the highest in our history."</w:t>
      </w:r>
    </w:p>
    <w:p>
      <w:pPr>
        <w:pStyle w:val="Compact"/>
        <w:numPr>
          <w:ilvl w:val="0"/>
          <w:numId w:val="1002"/>
        </w:numPr>
      </w:pPr>
      <w:r>
        <w:rPr>
          <w:b/>
          <w:bCs/>
        </w:rPr>
        <w:t xml:space="preserve">Seniors Housing Operating (SHOP) SSNOI +22.1%</w:t>
      </w:r>
      <w:r>
        <w:t xml:space="preserve">, the</w:t>
      </w:r>
      <w:r>
        <w:t xml:space="preserve"> </w:t>
      </w:r>
      <w:r>
        <w:rPr>
          <w:b/>
          <w:bCs/>
        </w:rPr>
        <w:t xml:space="preserve">14th consecutive quarter of 20%+ SHOP growth</w:t>
      </w:r>
      <w:r>
        <w:t xml:space="preserve">, on 370 bps of occupancy gains and 5.0% RevPOR growth.</w:t>
      </w:r>
    </w:p>
    <w:p>
      <w:pPr>
        <w:pStyle w:val="Compact"/>
        <w:numPr>
          <w:ilvl w:val="0"/>
          <w:numId w:val="1002"/>
        </w:numPr>
      </w:pPr>
      <w:r>
        <w:t xml:space="preserve">Balance sheet was pristine:</w:t>
      </w:r>
      <w:r>
        <w:t xml:space="preserve"> </w:t>
      </w:r>
      <w:r>
        <w:rPr>
          <w:b/>
          <w:bCs/>
        </w:rPr>
        <w:t xml:space="preserve">net debt/EBITDA of 2.73x</w:t>
      </w:r>
      <w:r>
        <w:t xml:space="preserve">, ~$11.1B liquidity, and a</w:t>
      </w:r>
      <w:r>
        <w:t xml:space="preserve"> </w:t>
      </w:r>
      <w:r>
        <w:rPr>
          <w:b/>
          <w:bCs/>
        </w:rPr>
        <w:t xml:space="preserve">50% FFO payout ratio</w:t>
      </w:r>
      <w:r>
        <w:t xml:space="preserve"> </w:t>
      </w:r>
      <w:r>
        <w:t xml:space="preserve">(dividend raised to $0.74/quarter).</w:t>
      </w:r>
    </w:p>
    <w:p>
      <w:pPr>
        <w:pStyle w:val="FirstParagraph"/>
      </w:pPr>
      <w:r>
        <w:t xml:space="preserve">Given the mid-July momentum in the stock, the market appears to be anticipating a continuation — or acceleration — of these trends into the seasonally important summer leasing season.</w:t>
      </w:r>
    </w:p>
    <w:p>
      <w:r>
        <w:pict>
          <v:rect style="width:0;height:1.5pt" o:hralign="center" o:hrstd="t" o:hr="t"/>
        </w:pict>
      </w:r>
    </w:p>
    <w:bookmarkEnd w:id="12"/>
    <w:bookmarkStart w:id="18" w:name="key-things-to-watch-on-the-print--call"/>
    <w:p>
      <w:pPr>
        <w:pStyle w:val="Heading2"/>
      </w:pPr>
      <w:r>
        <w:t xml:space="preserve">Key Things to Watch on the Print &amp; Call</w:t>
      </w:r>
    </w:p>
    <w:bookmarkStart w:id="13" w:name="Xcb3ba872b7207d9ecacb92807e4a830b87f425a"/>
    <w:p>
      <w:pPr>
        <w:pStyle w:val="Heading3"/>
      </w:pPr>
      <w:r>
        <w:t xml:space="preserve">1. SHOP occupancy and RevPOR — the whole story</w:t>
      </w:r>
    </w:p>
    <w:p>
      <w:pPr>
        <w:pStyle w:val="FirstParagraph"/>
      </w:pPr>
      <w:r>
        <w:t xml:space="preserve">SHOP now drives the model — the company's Q1 performance was strong, with normalised FFO of $1.47 per share and same-store net operating income rising 16.4%. SHOP is now</w:t>
      </w:r>
      <w:r>
        <w:t xml:space="preserve"> </w:t>
      </w:r>
      <w:r>
        <w:rPr>
          <w:b/>
          <w:bCs/>
        </w:rPr>
        <w:t xml:space="preserve">~74% of same-store NOI</w:t>
      </w:r>
      <w:r>
        <w:t xml:space="preserve"> </w:t>
      </w:r>
      <w:r>
        <w:t xml:space="preserve">(up from 57% a year ago). The full-year guide assumes SHOP SSNOI of</w:t>
      </w:r>
      <w:r>
        <w:t xml:space="preserve"> </w:t>
      </w:r>
      <w:r>
        <w:rPr>
          <w:b/>
          <w:bCs/>
        </w:rPr>
        <w:t xml:space="preserve">16.5%–21.5%</w:t>
      </w:r>
      <w:r>
        <w:t xml:space="preserve">, built on ~350 bps of occupancy growth and 5% RevPOR. Watch for:</w:t>
      </w:r>
    </w:p>
    <w:p>
      <w:pPr>
        <w:pStyle w:val="Compact"/>
        <w:numPr>
          <w:ilvl w:val="0"/>
          <w:numId w:val="1003"/>
        </w:numPr>
      </w:pPr>
      <w:r>
        <w:rPr>
          <w:b/>
          <w:bCs/>
        </w:rPr>
        <w:t xml:space="preserve">Total senior housing occupancy</w:t>
      </w:r>
      <w:r>
        <w:t xml:space="preserve"> </w:t>
      </w:r>
      <w:r>
        <w:t xml:space="preserve">(was ~87% in Q1) — management flagged ~45% of same-store SHOP assets still operate</w:t>
      </w:r>
      <w:r>
        <w:t xml:space="preserve"> </w:t>
      </w:r>
      <w:r>
        <w:rPr>
          <w:i/>
          <w:iCs/>
        </w:rPr>
        <w:t xml:space="preserve">below</w:t>
      </w:r>
      <w:r>
        <w:t xml:space="preserve"> </w:t>
      </w:r>
      <w:r>
        <w:t xml:space="preserve">90%, which is the multi-year runway thesis.</w:t>
      </w:r>
    </w:p>
    <w:p>
      <w:pPr>
        <w:pStyle w:val="Compact"/>
        <w:numPr>
          <w:ilvl w:val="0"/>
          <w:numId w:val="1003"/>
        </w:numPr>
      </w:pPr>
      <w:r>
        <w:rPr>
          <w:b/>
          <w:bCs/>
        </w:rPr>
        <w:t xml:space="preserve">The "95%+ occupied cohort"</w:t>
      </w:r>
      <w:r>
        <w:t xml:space="preserve"> </w:t>
      </w:r>
      <w:r>
        <w:t xml:space="preserve">growing NOI ~20% on 6%+ RevPOR — a data point management leaned on heavily as "the art of the possible."</w:t>
      </w:r>
    </w:p>
    <w:p>
      <w:pPr>
        <w:pStyle w:val="Compact"/>
        <w:numPr>
          <w:ilvl w:val="0"/>
          <w:numId w:val="1003"/>
        </w:numPr>
      </w:pPr>
      <w:r>
        <w:rPr>
          <w:b/>
          <w:bCs/>
        </w:rPr>
        <w:t xml:space="preserve">Margin flow-through</w:t>
      </w:r>
      <w:r>
        <w:t xml:space="preserve"> </w:t>
      </w:r>
      <w:r>
        <w:t xml:space="preserve">— Q1 delivered a 64% flow-through and 320 bps of margin expansion, with CompPOR (labor, ~60% of SHOP costs) up only ~20 bps. Any re-acceleration in labor costs would be the first crack.</w:t>
      </w:r>
    </w:p>
    <w:p>
      <w:pPr>
        <w:pStyle w:val="FirstParagraph"/>
      </w:pPr>
      <w:r>
        <w:rPr>
          <w:b/>
          <w:bCs/>
        </w:rPr>
        <w:t xml:space="preserve">This is peak leasing season</w:t>
      </w:r>
      <w:r>
        <w:t xml:space="preserve"> </w:t>
      </w:r>
      <w:r>
        <w:t xml:space="preserve">— management repeatedly said "we'll see what the market gives us this summer." Q2/Q3 are the quarters that prove or disprove the occupancy-driven compounding narrative.</w:t>
      </w:r>
    </w:p>
    <w:bookmarkEnd w:id="13"/>
    <w:bookmarkStart w:id="14" w:name="X53072e5a79eae1df4b93b98f10501973f9033a1"/>
    <w:p>
      <w:pPr>
        <w:pStyle w:val="Heading3"/>
      </w:pPr>
      <w:r>
        <w:t xml:space="preserve">2. Guidance — will they raise again?</w:t>
      </w:r>
    </w:p>
    <w:p>
      <w:pPr>
        <w:pStyle w:val="FirstParagraph"/>
      </w:pPr>
      <w:r>
        <w:t xml:space="preserve">With the Street already at ~$6.32 (above the</w:t>
      </w:r>
      <w:r>
        <w:t xml:space="preserve"> </w:t>
      </w:r>
      <m:oMath>
        <m:r>
          <m:t>6.28</m:t>
        </m:r>
        <m:r>
          <m:t>m</m:t>
        </m:r>
        <m:r>
          <m:t>i</m:t>
        </m:r>
        <m:r>
          <m:t>d</m:t>
        </m:r>
        <m:r>
          <m:t>p</m:t>
        </m:r>
        <m:r>
          <m:t>o</m:t>
        </m:r>
        <m:r>
          <m:t>i</m:t>
        </m:r>
        <m:r>
          <m:t>n</m:t>
        </m:r>
        <m:r>
          <m:t>t</m:t>
        </m:r>
        <m:r>
          <m:rPr>
            <m:sty m:val="p"/>
          </m:rPr>
          <m:t>)</m:t>
        </m:r>
        <m:r>
          <m:rPr>
            <m:sty m:val="p"/>
          </m:rPr>
          <m:t>,</m:t>
        </m:r>
        <m:r>
          <m:t>a</m:t>
        </m:r>
        <m:r>
          <m:t>n</m:t>
        </m:r>
        <m:r>
          <m:t>i</m:t>
        </m:r>
        <m:r>
          <m:t>n</m:t>
        </m:r>
        <m:r>
          <m:rPr>
            <m:sty m:val="p"/>
          </m:rPr>
          <m:t>−</m:t>
        </m:r>
        <m:r>
          <m:t>l</m:t>
        </m:r>
        <m:r>
          <m:t>i</m:t>
        </m:r>
        <m:r>
          <m:t>n</m:t>
        </m:r>
        <m:r>
          <m:t>e</m:t>
        </m:r>
        <m:r>
          <m:rPr>
            <m:sty m:val="p"/>
          </m:rPr>
          <m:t>−</m:t>
        </m:r>
        <m:r>
          <m:t>t</m:t>
        </m:r>
        <m:r>
          <m:t>o</m:t>
        </m:r>
        <m:r>
          <m:rPr>
            <m:sty m:val="p"/>
          </m:rPr>
          <m:t>−</m:t>
        </m:r>
        <m:r>
          <m:t>s</m:t>
        </m:r>
        <m:r>
          <m:t>t</m:t>
        </m:r>
        <m:r>
          <m:t>r</m:t>
        </m:r>
        <m:r>
          <m:t>o</m:t>
        </m:r>
        <m:r>
          <m:t>n</m:t>
        </m:r>
        <m:r>
          <m:t>g</m:t>
        </m:r>
        <m:r>
          <m:t>q</m:t>
        </m:r>
        <m:r>
          <m:t>u</m:t>
        </m:r>
        <m:r>
          <m:t>a</m:t>
        </m:r>
        <m:r>
          <m:t>r</m:t>
        </m:r>
        <m:r>
          <m:t>t</m:t>
        </m:r>
        <m:r>
          <m:t>e</m:t>
        </m:r>
        <m:r>
          <m:t>r</m:t>
        </m:r>
        <m:r>
          <m:t>l</m:t>
        </m:r>
        <m:r>
          <m:t>i</m:t>
        </m:r>
        <m:r>
          <m:t>k</m:t>
        </m:r>
        <m:r>
          <m:t>e</m:t>
        </m:r>
        <m:r>
          <m:t>l</m:t>
        </m:r>
        <m:r>
          <m:t>y</m:t>
        </m:r>
        <m:r>
          <m:t>b</m:t>
        </m:r>
        <m:r>
          <m:t>r</m:t>
        </m:r>
        <m:r>
          <m:t>i</m:t>
        </m:r>
        <m:r>
          <m:t>n</m:t>
        </m:r>
        <m:r>
          <m:t>g</m:t>
        </m:r>
        <m:r>
          <m:t>s</m:t>
        </m:r>
        <m:r>
          <m:t>a</m:t>
        </m:r>
        <m:r>
          <m:t>n</m:t>
        </m:r>
        <m:r>
          <m:t>o</m:t>
        </m:r>
        <m:r>
          <m:t>t</m:t>
        </m:r>
        <m:r>
          <m:t>h</m:t>
        </m:r>
        <m:r>
          <m:t>e</m:t>
        </m:r>
        <m:r>
          <m:t>r</m:t>
        </m:r>
        <m:r>
          <m:t>r</m:t>
        </m:r>
        <m:r>
          <m:t>a</m:t>
        </m:r>
        <m:r>
          <m:t>i</m:t>
        </m:r>
        <m:r>
          <m:t>s</m:t>
        </m:r>
        <m:r>
          <m:t>e</m:t>
        </m:r>
        <m:r>
          <m:rPr>
            <m:sty m:val="p"/>
          </m:rPr>
          <m:t>.</m:t>
        </m:r>
        <m:r>
          <m:t>T</m:t>
        </m:r>
        <m:r>
          <m:t>h</m:t>
        </m:r>
        <m:r>
          <m:t>e</m:t>
        </m:r>
        <m:r>
          <m:t>k</m:t>
        </m:r>
        <m:r>
          <m:t>e</m:t>
        </m:r>
        <m:r>
          <m:t>y</m:t>
        </m:r>
        <m:r>
          <m:t>n</m:t>
        </m:r>
        <m:r>
          <m:t>u</m:t>
        </m:r>
        <m:r>
          <m:t>a</m:t>
        </m:r>
        <m:r>
          <m:t>n</m:t>
        </m:r>
        <m:r>
          <m:t>c</m:t>
        </m:r>
        <m:r>
          <m:t>e</m:t>
        </m:r>
        <m:r>
          <m:rPr>
            <m:sty m:val="p"/>
          </m:rPr>
          <m:t>:</m:t>
        </m:r>
        <m:r>
          <m:t>m</m:t>
        </m:r>
        <m:r>
          <m:t>a</m:t>
        </m:r>
        <m:r>
          <m:t>n</m:t>
        </m:r>
        <m:r>
          <m:t>a</m:t>
        </m:r>
        <m:r>
          <m:t>g</m:t>
        </m:r>
        <m:r>
          <m:t>e</m:t>
        </m:r>
        <m:r>
          <m:t>m</m:t>
        </m:r>
        <m:r>
          <m:t>e</m:t>
        </m:r>
        <m:r>
          <m:t>n</m:t>
        </m:r>
        <m:r>
          <m:t>t</m:t>
        </m:r>
        <m:r>
          <m:t>n</m:t>
        </m:r>
        <m:r>
          <m:t>o</m:t>
        </m:r>
        <m:r>
          <m:t>t</m:t>
        </m:r>
        <m:r>
          <m:t>e</m:t>
        </m:r>
        <m:r>
          <m:t>d</m:t>
        </m:r>
        <m:r>
          <m:t>2025</m:t>
        </m:r>
        <m:r>
          <m:rPr>
            <m:sty m:val="p"/>
          </m:rPr>
          <m:t>–</m:t>
        </m:r>
        <m:r>
          <m:t>26</m:t>
        </m:r>
        <m:r>
          <m:t>d</m:t>
        </m:r>
        <m:r>
          <m:t>i</m:t>
        </m:r>
        <m:r>
          <m:t>s</m:t>
        </m:r>
        <m:r>
          <m:t>p</m:t>
        </m:r>
        <m:r>
          <m:t>o</m:t>
        </m:r>
        <m:r>
          <m:t>s</m:t>
        </m:r>
        <m:r>
          <m:t>i</m:t>
        </m:r>
        <m:r>
          <m:t>t</m:t>
        </m:r>
        <m:r>
          <m:t>i</m:t>
        </m:r>
        <m:r>
          <m:t>o</m:t>
        </m:r>
        <m:r>
          <m:t>n</m:t>
        </m:r>
        <m:r>
          <m:t>s</m:t>
        </m:r>
        <m:r>
          <m:rPr>
            <m:sty m:val="p"/>
          </m:rPr>
          <m:t>(</m:t>
        </m:r>
      </m:oMath>
      <w:r>
        <w:t xml:space="preserve">11B+ since the start of 2025) have been</w:t>
      </w:r>
      <w:r>
        <w:t xml:space="preserve"> </w:t>
      </w:r>
      <w:r>
        <w:rPr>
          <w:b/>
          <w:bCs/>
        </w:rPr>
        <w:t xml:space="preserve">near-term dilutive</w:t>
      </w:r>
      <w:r>
        <w:t xml:space="preserve"> </w:t>
      </w:r>
      <w:r>
        <w:t xml:space="preserve">to 2026 FFO but extend the growth curve — so watch how much of any beat flows through versus getting reinvested/offset by capital recycling.</w:t>
      </w:r>
    </w:p>
    <w:bookmarkEnd w:id="14"/>
    <w:bookmarkStart w:id="15" w:name="X20e59b7f028c6a942d6484546e2b75b24ddd90e"/>
    <w:p>
      <w:pPr>
        <w:pStyle w:val="Heading3"/>
      </w:pPr>
      <w:r>
        <w:t xml:space="preserve">3. Capital deployment cadence</w:t>
      </w:r>
    </w:p>
    <w:p>
      <w:pPr>
        <w:pStyle w:val="FirstParagraph"/>
      </w:pPr>
      <w:r>
        <w:t xml:space="preserve">Investment activity has been enormous:</w:t>
      </w:r>
      <w:r>
        <w:t xml:space="preserve"> </w:t>
      </w:r>
      <m:oMath>
        <m:r>
          <m:t>10.5</m:t>
        </m:r>
        <m:r>
          <m:t>B</m:t>
        </m:r>
        <m:r>
          <m:t>c</m:t>
        </m:r>
        <m:r>
          <m:t>l</m:t>
        </m:r>
        <m:r>
          <m:t>o</m:t>
        </m:r>
        <m:r>
          <m:t>s</m:t>
        </m:r>
        <m:r>
          <m:t>e</m:t>
        </m:r>
        <m:r>
          <m:t>d</m:t>
        </m:r>
        <m:r>
          <m:rPr>
            <m:sty m:val="p"/>
          </m:rPr>
          <m:t>/</m:t>
        </m:r>
        <m:r>
          <m:t>u</m:t>
        </m:r>
        <m:r>
          <m:t>n</m:t>
        </m:r>
        <m:r>
          <m:t>d</m:t>
        </m:r>
        <m:r>
          <m:t>e</m:t>
        </m:r>
        <m:r>
          <m:t>r</m:t>
        </m:r>
        <m:r>
          <m:t>c</m:t>
        </m:r>
        <m:r>
          <m:t>o</m:t>
        </m:r>
        <m:r>
          <m:t>n</m:t>
        </m:r>
        <m:r>
          <m:t>t</m:t>
        </m:r>
        <m:r>
          <m:t>r</m:t>
        </m:r>
        <m:r>
          <m:t>a</m:t>
        </m:r>
        <m:r>
          <m:t>c</m:t>
        </m:r>
        <m:r>
          <m:t>t</m:t>
        </m:r>
        <m:r>
          <m:t>Y</m:t>
        </m:r>
        <m:r>
          <m:t>T</m:t>
        </m:r>
        <m:r>
          <m:t>D</m:t>
        </m:r>
        <m:r>
          <m:rPr>
            <m:sty m:val="p"/>
          </m:rPr>
          <m:t>*</m:t>
        </m:r>
        <m:r>
          <m:rPr>
            <m:sty m:val="p"/>
          </m:rPr>
          <m:t>*</m:t>
        </m:r>
        <m:r>
          <m:t>a</m:t>
        </m:r>
        <m:r>
          <m:t>s</m:t>
        </m:r>
        <m:r>
          <m:t>o</m:t>
        </m:r>
        <m:r>
          <m:t>f</m:t>
        </m:r>
        <m:r>
          <m:t>Q</m:t>
        </m:r>
        <m:r>
          <m:t>1</m:t>
        </m:r>
        <m:r>
          <m:rPr>
            <m:sty m:val="p"/>
          </m:rPr>
          <m:t>,</m:t>
        </m:r>
        <m:r>
          <m:t>i</m:t>
        </m:r>
        <m:r>
          <m:t>n</m:t>
        </m:r>
        <m:r>
          <m:t>c</m:t>
        </m:r>
        <m:r>
          <m:t>l</m:t>
        </m:r>
        <m:r>
          <m:t>u</m:t>
        </m:r>
        <m:r>
          <m:t>d</m:t>
        </m:r>
        <m:r>
          <m:t>i</m:t>
        </m:r>
        <m:r>
          <m:t>n</m:t>
        </m:r>
        <m:r>
          <m:t>g</m:t>
        </m:r>
        <m:r>
          <m:t>t</m:t>
        </m:r>
        <m:r>
          <m:t>h</m:t>
        </m:r>
        <m:r>
          <m:t>e</m:t>
        </m:r>
        <m:r>
          <m:rPr>
            <m:sty m:val="p"/>
          </m:rPr>
          <m:t>*</m:t>
        </m:r>
        <m:r>
          <m:rPr>
            <m:sty m:val="p"/>
          </m:rPr>
          <m:t>*</m:t>
        </m:r>
        <m:r>
          <m:t>C</m:t>
        </m:r>
      </m:oMath>
      <w:r>
        <w:rPr>
          <w:b/>
          <w:bCs/>
        </w:rPr>
        <w:t xml:space="preserve">4.1B Amica acquisition</w:t>
      </w:r>
      <w:r>
        <w:t xml:space="preserve"> </w:t>
      </w:r>
      <w:r>
        <w:t xml:space="preserve">(closed April 1). Management argues capital-markets volatility is a</w:t>
      </w:r>
      <w:r>
        <w:t xml:space="preserve"> </w:t>
      </w:r>
      <w:r>
        <w:rPr>
          <w:i/>
          <w:iCs/>
        </w:rPr>
        <w:t xml:space="preserve">tailwind</w:t>
      </w:r>
      <w:r>
        <w:t xml:space="preserve"> </w:t>
      </w:r>
      <w:r>
        <w:t xml:space="preserve">— sellers value WELL's certainty of close, and ~90–95% of deals are sourced off-market. Watch for updated pipeline figures and whether the pace of granular, off-market SHOP acquisitions is holding.</w:t>
      </w:r>
    </w:p>
    <w:bookmarkEnd w:id="15"/>
    <w:bookmarkStart w:id="16" w:name="Xb8c8bc708cf09aa7e9f0355217253b4192f7a4b"/>
    <w:p>
      <w:pPr>
        <w:pStyle w:val="Heading3"/>
      </w:pPr>
      <w:r>
        <w:t xml:space="preserve">4. Balance sheet &amp; financing</w:t>
      </w:r>
    </w:p>
    <w:p>
      <w:pPr>
        <w:pStyle w:val="FirstParagraph"/>
      </w:pPr>
      <w:r>
        <w:t xml:space="preserve">WELL remains under-levered (~2.7x, targeting ~3x by year-end). Since Q1 it has stayed active in debt markets — notably a</w:t>
      </w:r>
      <w:r>
        <w:t xml:space="preserve"> </w:t>
      </w:r>
      <w:r>
        <w:rPr>
          <w:b/>
          <w:bCs/>
        </w:rPr>
        <w:t xml:space="preserve">C$1.15B Canadian note offering on July 13</w:t>
      </w:r>
      <w:r>
        <w:t xml:space="preserve"> </w:t>
      </w:r>
      <w:r>
        <w:t xml:space="preserve">to term out/fund Canadian activity (Amica). Expect continued emphasis on the fortress balance sheet as a competitive weapon.</w:t>
      </w:r>
    </w:p>
    <w:bookmarkEnd w:id="16"/>
    <w:bookmarkStart w:id="17" w:name="X9060ff023dffeee9957ec3e65b6edc2de05ddc5"/>
    <w:p>
      <w:pPr>
        <w:pStyle w:val="Heading3"/>
      </w:pPr>
      <w:r>
        <w:t xml:space="preserve">5. The "optionality" narrative — capital-light &amp; data science</w:t>
      </w:r>
    </w:p>
    <w:p>
      <w:pPr>
        <w:pStyle w:val="FirstParagraph"/>
      </w:pPr>
      <w:r>
        <w:t xml:space="preserve">A newer swing factor to listen for: WELL is monetizing its</w:t>
      </w:r>
      <w:r>
        <w:t xml:space="preserve"> </w:t>
      </w:r>
      <w:r>
        <w:rPr>
          <w:b/>
          <w:bCs/>
        </w:rPr>
        <w:t xml:space="preserve">data science platform</w:t>
      </w:r>
      <w:r>
        <w:t xml:space="preserve"> </w:t>
      </w:r>
      <w:r>
        <w:t xml:space="preserve">(licensed to Public Storage and a global PE real estate firm) and running a</w:t>
      </w:r>
      <w:r>
        <w:t xml:space="preserve"> </w:t>
      </w:r>
      <w:r>
        <w:rPr>
          <w:b/>
          <w:bCs/>
        </w:rPr>
        <w:t xml:space="preserve">$2.5B seniors housing equity fund</w:t>
      </w:r>
      <w:r>
        <w:t xml:space="preserve"> </w:t>
      </w:r>
      <w:r>
        <w:t xml:space="preserve">(fully committed as of Q1). These are early-stage, capital-light revenue streams that management is clearly excited about. Any hard numbers or new partnerships would feed the "more than a REIT" bull case — though it's not yet material to earnings.</w:t>
      </w:r>
    </w:p>
    <w:p>
      <w:r>
        <w:pict>
          <v:rect style="width:0;height:1.5pt" o:hralign="center" o:hrstd="t" o:hr="t"/>
        </w:pict>
      </w:r>
    </w:p>
    <w:bookmarkEnd w:id="17"/>
    <w:bookmarkEnd w:id="18"/>
    <w:bookmarkStart w:id="19" w:name="bull-vs-bear-framing"/>
    <w:p>
      <w:pPr>
        <w:pStyle w:val="Heading2"/>
      </w:pPr>
      <w:r>
        <w:t xml:space="preserve">Bull vs. Bear Framing</w:t>
      </w:r>
    </w:p>
    <w:p>
      <w:pPr>
        <w:pStyle w:val="FirstParagraph"/>
      </w:pPr>
      <w:r>
        <w:rPr>
          <w:b/>
          <w:bCs/>
        </w:rPr>
        <w:t xml:space="preserve">Bull case:</w:t>
      </w:r>
    </w:p>
    <w:p>
      <w:pPr>
        <w:pStyle w:val="Compact"/>
        <w:numPr>
          <w:ilvl w:val="0"/>
          <w:numId w:val="1004"/>
        </w:numPr>
      </w:pPr>
      <w:r>
        <w:t xml:space="preserve">Best-in-class organic growth (16%+ total SSNOI, 20%+ SHOP) with years of occupancy runway (still only ~87% occupied).</w:t>
      </w:r>
    </w:p>
    <w:p>
      <w:pPr>
        <w:pStyle w:val="Compact"/>
        <w:numPr>
          <w:ilvl w:val="0"/>
          <w:numId w:val="1004"/>
        </w:numPr>
      </w:pPr>
      <w:r>
        <w:t xml:space="preserve">Favorable industry backdrop: low new supply, aging demographics ("silver economy"), fragmented industry to consolidate.</w:t>
      </w:r>
    </w:p>
    <w:p>
      <w:pPr>
        <w:pStyle w:val="Compact"/>
        <w:numPr>
          <w:ilvl w:val="0"/>
          <w:numId w:val="1004"/>
        </w:numPr>
      </w:pPr>
      <w:r>
        <w:t xml:space="preserve">Fortress balance sheet + off-market sourcing = accretive deployment even in volatile markets.</w:t>
      </w:r>
    </w:p>
    <w:p>
      <w:pPr>
        <w:pStyle w:val="Compact"/>
        <w:numPr>
          <w:ilvl w:val="0"/>
          <w:numId w:val="1004"/>
        </w:numPr>
      </w:pPr>
      <w:r>
        <w:t xml:space="preserve">Optionality from capital-light data-science and fund-management businesses.</w:t>
      </w:r>
    </w:p>
    <w:p>
      <w:pPr>
        <w:pStyle w:val="Compact"/>
        <w:numPr>
          <w:ilvl w:val="0"/>
          <w:numId w:val="1004"/>
        </w:numPr>
      </w:pPr>
      <w:r>
        <w:t xml:space="preserve">Consistent beat-and-raise track record (4 straight FFO beats).</w:t>
      </w:r>
    </w:p>
    <w:p>
      <w:pPr>
        <w:pStyle w:val="FirstParagraph"/>
      </w:pPr>
      <w:r>
        <w:rPr>
          <w:b/>
          <w:bCs/>
        </w:rPr>
        <w:t xml:space="preserve">Bear/risk case:</w:t>
      </w:r>
    </w:p>
    <w:p>
      <w:pPr>
        <w:pStyle w:val="Compact"/>
        <w:numPr>
          <w:ilvl w:val="0"/>
          <w:numId w:val="1005"/>
        </w:numPr>
      </w:pPr>
      <w:r>
        <w:rPr>
          <w:b/>
          <w:bCs/>
        </w:rPr>
        <w:t xml:space="preserve">Valuation</w:t>
      </w:r>
      <w:r>
        <w:t xml:space="preserve"> </w:t>
      </w:r>
      <w:r>
        <w:t xml:space="preserve">— stock is up ~35% YTD, at all-time highs, and trading</w:t>
      </w:r>
      <w:r>
        <w:t xml:space="preserve"> </w:t>
      </w:r>
      <w:r>
        <w:rPr>
          <w:i/>
          <w:iCs/>
        </w:rPr>
        <w:t xml:space="preserve">above</w:t>
      </w:r>
      <w:r>
        <w:t xml:space="preserve"> </w:t>
      </w:r>
      <w:r>
        <w:t xml:space="preserve">the average price target. Priced for perfection.</w:t>
      </w:r>
    </w:p>
    <w:p>
      <w:pPr>
        <w:pStyle w:val="Compact"/>
        <w:numPr>
          <w:ilvl w:val="0"/>
          <w:numId w:val="1005"/>
        </w:numPr>
      </w:pPr>
      <w:r>
        <w:t xml:space="preserve">The Q1 print set an extraordinarily high "highest in history" comp; deceleration off that base — even to still-great numbers — could disappoint.</w:t>
      </w:r>
    </w:p>
    <w:p>
      <w:pPr>
        <w:pStyle w:val="Compact"/>
        <w:numPr>
          <w:ilvl w:val="0"/>
          <w:numId w:val="1005"/>
        </w:numPr>
      </w:pPr>
      <w:r>
        <w:t xml:space="preserve">Labor cost re-acceleration or a softer-than-hoped summer leasing season would hit the occupancy/margin thesis directly.</w:t>
      </w:r>
    </w:p>
    <w:p>
      <w:pPr>
        <w:pStyle w:val="Compact"/>
        <w:numPr>
          <w:ilvl w:val="0"/>
          <w:numId w:val="1005"/>
        </w:numPr>
      </w:pPr>
      <w:r>
        <w:t xml:space="preserve">Heavy disposition activity is dilutive near-term; execution risk on redeploying $7B+ of remaining 2026 investment activity.</w:t>
      </w:r>
    </w:p>
    <w:p>
      <w:pPr>
        <w:pStyle w:val="Compact"/>
        <w:numPr>
          <w:ilvl w:val="0"/>
          <w:numId w:val="1005"/>
        </w:numPr>
      </w:pPr>
      <w:r>
        <w:t xml:space="preserve">Regulatory/political scrutiny of senior housing in Canada and the U.K. (raised on the Q1 call).</w:t>
      </w:r>
    </w:p>
    <w:p>
      <w:r>
        <w:pict>
          <v:rect style="width:0;height:1.5pt" o:hralign="center" o:hrstd="t" o:hr="t"/>
        </w:pict>
      </w:r>
    </w:p>
    <w:bookmarkEnd w:id="19"/>
    <w:bookmarkStart w:id="20" w:name="what-would-move-the-stock"/>
    <w:p>
      <w:pPr>
        <w:pStyle w:val="Heading2"/>
      </w:pPr>
      <w:r>
        <w:t xml:space="preserve">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Likely reaction</w:t>
            </w:r>
          </w:p>
        </w:tc>
      </w:tr>
      <w:tr>
        <w:tc>
          <w:tcPr/>
          <w:p>
            <w:pPr>
              <w:pStyle w:val="Compact"/>
            </w:pPr>
            <w:r>
              <w:t xml:space="preserve">FFO ≥</w:t>
            </w:r>
            <w:r>
              <w:t xml:space="preserve"> </w:t>
            </w:r>
            <m:oMath>
              <m:r>
                <m:t>1.56</m:t>
              </m:r>
              <m:r>
                <m:rPr>
                  <m:sty m:val="p"/>
                </m:rPr>
                <m:t>–</m:t>
              </m:r>
            </m:oMath>
            <w:r>
              <w:t xml:space="preserve">1.58, SHOP SSNOI &gt;20%, FY guide raised toward/above $6.35</w:t>
            </w:r>
          </w:p>
        </w:tc>
        <w:tc>
          <w:tcPr/>
          <w:p>
            <w:pPr>
              <w:pStyle w:val="Compact"/>
            </w:pPr>
            <w:r>
              <w:t xml:space="preserve">Positive, but partly expected — needs to clear a high bar</w:t>
            </w:r>
          </w:p>
        </w:tc>
      </w:tr>
      <w:tr>
        <w:tc>
          <w:tcPr/>
          <w:p>
            <w:pPr>
              <w:pStyle w:val="Compact"/>
            </w:pPr>
            <w:r>
              <w:t xml:space="preserve">FFO ~$1.55 in line, guide reaffirmed/modest raise</w:t>
            </w:r>
          </w:p>
        </w:tc>
        <w:tc>
          <w:tcPr/>
          <w:p>
            <w:pPr>
              <w:pStyle w:val="Compact"/>
            </w:pPr>
            <w:r>
              <w:t xml:space="preserve">Risk of "sell-the-news" given the YTD run</w:t>
            </w:r>
          </w:p>
        </w:tc>
      </w:tr>
      <w:tr>
        <w:tc>
          <w:tcPr/>
          <w:p>
            <w:pPr>
              <w:pStyle w:val="Compact"/>
            </w:pPr>
            <w:r>
              <w:t xml:space="preserve">Any SHOP occupancy/margin softness or labor cost uptick</w:t>
            </w:r>
          </w:p>
        </w:tc>
        <w:tc>
          <w:tcPr/>
          <w:p>
            <w:pPr>
              <w:pStyle w:val="Compact"/>
            </w:pPr>
            <w:r>
              <w:t xml:space="preserve">Outsized downside given valuation</w:t>
            </w:r>
          </w:p>
        </w:tc>
      </w:tr>
      <w:tr>
        <w:tc>
          <w:tcPr/>
          <w:p>
            <w:pPr>
              <w:pStyle w:val="Compact"/>
            </w:pPr>
            <w:r>
              <w:t xml:space="preserve">New capital-light / data-science monetization detail</w:t>
            </w:r>
          </w:p>
        </w:tc>
        <w:tc>
          <w:tcPr/>
          <w:p>
            <w:pPr>
              <w:pStyle w:val="Compact"/>
            </w:pPr>
            <w:r>
              <w:t xml:space="preserve">Incremental positive optionality</w:t>
            </w:r>
          </w:p>
        </w:tc>
      </w:tr>
    </w:tbl>
    <w:p>
      <w:r>
        <w:pict>
          <v:rect style="width:0;height:1.5pt" o:hralign="center" o:hrstd="t" o:hr="t"/>
        </w:pict>
      </w:r>
    </w:p>
    <w:p>
      <w:pPr>
        <w:pStyle w:val="FirstParagraph"/>
      </w:pPr>
      <w:r>
        <w:rPr>
          <w:b/>
          <w:bCs/>
        </w:rPr>
        <w:t xml:space="preserve">Summary:</w:t>
      </w:r>
      <w:r>
        <w:t xml:space="preserve"> </w:t>
      </w:r>
      <w:r>
        <w:t xml:space="preserve">Welltower is executing at the top of the REIT sector, and the consensus (~</w:t>
      </w:r>
      <m:oMath>
        <m:r>
          <m:t>1.55</m:t>
        </m:r>
        <m:r>
          <m:t>F</m:t>
        </m:r>
        <m:r>
          <m:t>F</m:t>
        </m:r>
        <m:r>
          <m:t>O</m:t>
        </m:r>
        <m:r>
          <m:rPr>
            <m:sty m:val="p"/>
          </m:rPr>
          <m:t>,</m:t>
        </m:r>
        <m:r>
          <m:rPr>
            <m:sty m:val="p"/>
          </m:rPr>
          <m:t>+</m:t>
        </m:r>
        <m:r>
          <m:t>21</m:t>
        </m:r>
      </m:oMath>
      <w:r>
        <w:t xml:space="preserve">6.32) implies another beat-and-raise is broadly expected. The fundamental momentum — occupancy runway, margin expansion, off-market deal sourcing, and a fortress balance sheet — remains firmly intact. The central tension into the print is that all of this is well understood and the stock has already run hard past analyst targets. The swing factors to watch are</w:t>
      </w:r>
      <w:r>
        <w:t xml:space="preserve"> </w:t>
      </w:r>
      <w:r>
        <w:rPr>
          <w:b/>
          <w:bCs/>
        </w:rPr>
        <w:t xml:space="preserve">summer leasing-season occupancy trends, labor/margin flow-through, and whether guidance moves up again</w:t>
      </w:r>
      <w:r>
        <w:t xml:space="preserve"> </w:t>
      </w:r>
      <w:r>
        <w:t xml:space="preserve">— with the risk skewed toward a "great-quarter-but-priced-in" reaction rather than the fundamentals themselves.</w:t>
      </w:r>
    </w:p>
    <w:p>
      <w:pPr>
        <w:pStyle w:val="BodyText"/>
      </w:pPr>
      <w:r>
        <w:rPr>
          <w:i/>
          <w:iCs/>
        </w:rPr>
        <w:t xml:space="preserve">Note: Figures reflect Welltower's Q1 2026 results/guidance and pre-earnings consensus and price data; actual Q2 results will be released 7/27/2026.</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2026-07-27T00:32:50Z</dcterms:created>
  <dcterms:modified xsi:type="dcterms:W3CDTF">2026-07-27T00:32:50Z</dcterms:modified>
</cp:coreProperties>
</file>

<file path=docProps/custom.xml><?xml version="1.0" encoding="utf-8"?>
<Properties xmlns="http://schemas.openxmlformats.org/officeDocument/2006/custom-properties" xmlns:vt="http://schemas.openxmlformats.org/officeDocument/2006/docPropsVTypes"/>
</file>