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ell-earnings-predictions--2026-07-27"/>
    <w:p>
      <w:pPr>
        <w:pStyle w:val="Heading1"/>
      </w:pPr>
      <w:r>
        <w:t xml:space="preserve">WELL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Normalized FFO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~$1.58 vs. cons $1.55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~$3.47B vs. cons $3.40B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SHOP same-store NOI growth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~19.5% vs. cons ~19.8%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Normalized FFO per 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~$6.40 vs. cons $6.32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SHOP same-store NOI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~17.5%-22.0% (~19.75% midpoint) vs. cons ~19.5%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Year-end 2026 net debt/EBITDA leverage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~3.0x vs. cons ~3.0x (YE2026)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(STABILIZE)</w:t>
            </w:r>
          </w:p>
        </w:tc>
        <w:tc>
          <w:tcPr/>
          <w:p>
            <w:pPr>
              <w:pStyle w:val="Compact"/>
            </w:pPr>
            <w:r>
              <w:t xml:space="preserve">Stock is +34% YTD and near all-time highs into the print, with Street FFO already above the top of guidance ($6.32 vs $6.21-6.35), so a beat-and-raise is largely pre-priced (Q1's beat-and-raise only produced a -1.0% day-1 move followed by a flat week, vs. Q4's +1.8%/+9% follow-through off a lower base). Tougher H2 comps against 2025's record SHOP growth mean any FY raise likely just tracks consensus rather than surprising higher, capping upward revisions; but underlying occupancy/RevPOR fundamentals remain intact, so an initial soft/negative reaction should get partially bought back rather than extend into a deeper fade.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2026-07-27T00:35:00Z</dcterms:created>
  <dcterms:modified xsi:type="dcterms:W3CDTF">2026-07-27T00:35:00Z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