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5f7b6242f01444d16319275feb20e03b181bfb"/>
    <w:p>
      <w:pPr>
        <w:pStyle w:val="Heading1"/>
      </w:pPr>
      <w:r>
        <w:t xml:space="preserve">Welltower Inc. (WELL) — Q2 2026 Earnings Preview</w:t>
      </w:r>
    </w:p>
    <w:p>
      <w:pPr>
        <w:pStyle w:val="FirstParagraph"/>
      </w:pPr>
      <w:r>
        <w:rPr>
          <w:b/>
          <w:bCs/>
        </w:rPr>
        <w:t xml:space="preserve">Report Date:</w:t>
      </w:r>
      <w:r>
        <w:t xml:space="preserve"> </w:t>
      </w:r>
      <w:r>
        <w:t xml:space="preserve">Monday, July 27, 2026 (after market close) |</w:t>
      </w:r>
      <w:r>
        <w:t xml:space="preserve"> </w:t>
      </w:r>
      <w:r>
        <w:rPr>
          <w:b/>
          <w:bCs/>
        </w:rPr>
        <w:t xml:space="preserve">Call:</w:t>
      </w:r>
      <w:r>
        <w:t xml:space="preserve"> </w:t>
      </w:r>
      <w:r>
        <w:t xml:space="preserve">2026Q2 Earnings Call</w:t>
      </w:r>
    </w:p>
    <w:p>
      <w:r>
        <w:pict>
          <v:rect style="width:0;height:1.5pt" o:hralign="center" o:hrstd="t" o:hr="t"/>
        </w:pict>
      </w:r>
    </w:p>
    <w:bookmarkStart w:id="9" w:name="X340611ab981650f1d64c78ce49edfd22d9a6c03"/>
    <w:p>
      <w:pPr>
        <w:pStyle w:val="Heading2"/>
      </w:pPr>
      <w:r>
        <w:t xml:space="preserve">1. Setting the Stage</w:t>
      </w:r>
    </w:p>
    <w:p>
      <w:pPr>
        <w:pStyle w:val="FirstParagraph"/>
      </w:pPr>
      <w:r>
        <w:t xml:space="preserve">Welltower heads into tomorrow's print near all-time highs. The stock has run from roughly $187 in early January to over $250 by late July 2026, a move that reflects an unusually strong start to the year and repeated upward guidance revisions. Expectations are elevated, and the bar for a "good" quarter has moved up accordingly.</w:t>
      </w:r>
    </w:p>
    <w:p>
      <w:pPr>
        <w:pStyle w:val="BodyText"/>
      </w:pPr>
      <w:r>
        <w:t xml:space="preserve">The company's Q1 2026 report set the tone. Management described a quarter where total revenue for the quarter increased 38% year-over-year, while adjusted EBITDA was up 36%, and FFO per share increased 23% while the company continued to deleverage its balance sheet and invest in people and systems. That performance was strong enough that management raised the midpoint of full-year FFO per share guidance by $0.11 to $6.28 just one quarter into the year — a pattern investors will be watching to see repeated.</w:t>
      </w:r>
    </w:p>
    <w:bookmarkEnd w:id="9"/>
    <w:bookmarkStart w:id="10" w:name="X9c61e3d50dede3bdce8cb1ba87f88ddd1cdeefc"/>
    <w:p>
      <w:pPr>
        <w:pStyle w:val="Heading2"/>
      </w:pPr>
      <w:r>
        <w:t xml:space="preserve">2. What Wall Street Expects for Q2</w:t>
      </w:r>
    </w:p>
    <w:p>
      <w:pPr>
        <w:pStyle w:val="FirstParagraph"/>
      </w:pPr>
      <w:r>
        <w:t xml:space="preserve">Consensus has moved higher since Q1. According to sell-side estimates compiled ahead of the print, analysts are looking for normalized FFO of roughly</w:t>
      </w:r>
      <w:r>
        <w:t xml:space="preserve"> </w:t>
      </w:r>
      <m:oMath>
        <m:r>
          <m:t>1.55</m:t>
        </m:r>
        <m:r>
          <m:t>p</m:t>
        </m:r>
        <m:r>
          <m:t>e</m:t>
        </m:r>
        <m:r>
          <m:t>r</m:t>
        </m:r>
        <m:r>
          <m:t>s</m:t>
        </m:r>
        <m:r>
          <m:t>h</m:t>
        </m:r>
        <m:r>
          <m:t>a</m:t>
        </m:r>
        <m:r>
          <m:t>r</m:t>
        </m:r>
        <m:r>
          <m:t>e</m:t>
        </m:r>
        <m:r>
          <m:rPr>
            <m:sty m:val="p"/>
          </m:rPr>
          <m:t>*</m:t>
        </m:r>
        <m:r>
          <m:rPr>
            <m:sty m:val="p"/>
          </m:rPr>
          <m:t>*</m:t>
        </m:r>
        <m:r>
          <m:rPr>
            <m:sty m:val="p"/>
          </m:rPr>
          <m:t>,</m:t>
        </m:r>
        <m:r>
          <m:t>w</m:t>
        </m:r>
        <m:r>
          <m:t>h</m:t>
        </m:r>
        <m:r>
          <m:t>i</m:t>
        </m:r>
        <m:r>
          <m:t>c</m:t>
        </m:r>
        <m:r>
          <m:t>h</m:t>
        </m:r>
        <m:r>
          <m:t>w</m:t>
        </m:r>
        <m:r>
          <m:t>o</m:t>
        </m:r>
        <m:r>
          <m:t>u</m:t>
        </m:r>
        <m:r>
          <m:t>l</m:t>
        </m:r>
        <m:r>
          <m:t>d</m:t>
        </m:r>
        <m:r>
          <m:t>r</m:t>
        </m:r>
        <m:r>
          <m:t>e</m:t>
        </m:r>
        <m:r>
          <m:t>p</m:t>
        </m:r>
        <m:r>
          <m:t>r</m:t>
        </m:r>
        <m:r>
          <m:t>e</m:t>
        </m:r>
        <m:r>
          <m:t>s</m:t>
        </m:r>
        <m:r>
          <m:t>e</m:t>
        </m:r>
        <m:r>
          <m:t>n</m:t>
        </m:r>
        <m:r>
          <m:t>t</m:t>
        </m:r>
        <m:r>
          <m:rPr>
            <m:sty m:val="p"/>
          </m:rPr>
          <m:t>*</m:t>
        </m:r>
        <m:r>
          <m:rPr>
            <m:sty m:val="p"/>
          </m:rPr>
          <m:t>*</m:t>
        </m:r>
        <m:r>
          <m:t>21.1</m:t>
        </m:r>
      </m:oMath>
      <w:r>
        <w:rPr>
          <w:b/>
          <w:bCs/>
        </w:rPr>
        <w:t xml:space="preserve">3.4 billion</w:t>
      </w:r>
      <w:r>
        <w:t xml:space="preserve"> </w:t>
      </w:r>
      <w:r>
        <w:t xml:space="preserve">(up roughly 34–35% year-over-year). For the full year, the Street has penciled in FFO of about</w:t>
      </w:r>
      <w:r>
        <w:t xml:space="preserve"> </w:t>
      </w:r>
      <w:r>
        <w:rPr>
          <w:b/>
          <w:bCs/>
        </w:rPr>
        <w:t xml:space="preserve">$6.32 per share</w:t>
      </w:r>
      <w:r>
        <w:t xml:space="preserve"> </w:t>
      </w:r>
      <w:r>
        <w:t xml:space="preserve">(+19.5% y/y) — modestly above the top end of management's own</w:t>
      </w:r>
      <w:r>
        <w:t xml:space="preserve"> </w:t>
      </w:r>
      <m:oMath>
        <m:r>
          <m:t>6.21</m:t>
        </m:r>
        <m:r>
          <m:rPr>
            <m:sty m:val="p"/>
          </m:rPr>
          <m:t>–</m:t>
        </m:r>
      </m:oMath>
      <w:r>
        <w:t xml:space="preserve">6.35 guidance range issued in Q1 — with 2027 FFO growth forecast to continue at a low-teens-to-mid-teens pace. Notably, Welltower has beaten Street FFO estimates in each of the last four quarters, which sets a high bar but also a favorable track record heading into the print.</w:t>
      </w:r>
    </w:p>
    <w:bookmarkEnd w:id="10"/>
    <w:bookmarkStart w:id="16" w:name="Xaef221aaad732c6d49c85b538c7210226d6a6fd"/>
    <w:p>
      <w:pPr>
        <w:pStyle w:val="Heading2"/>
      </w:pPr>
      <w:r>
        <w:t xml:space="preserve">3. Key Themes to Watch on the Call</w:t>
      </w:r>
    </w:p>
    <w:bookmarkStart w:id="11" w:name="a-can-shop-growth-stay-above-20"/>
    <w:p>
      <w:pPr>
        <w:pStyle w:val="Heading3"/>
      </w:pPr>
      <w:r>
        <w:t xml:space="preserve">a) Can SHOP growth stay above 20%?</w:t>
      </w:r>
    </w:p>
    <w:p>
      <w:pPr>
        <w:pStyle w:val="FirstParagraph"/>
      </w:pPr>
      <w:r>
        <w:t xml:space="preserve">The senior housing operating (SHOP) portfolio is the whole investment thesis at this point. In Q1, total portfolio same-store NOI growth hit 16.4%, by far the highest in the company's history, driven by a portfolio mix shift: SHOP now comprises 74% of same-store NOI, up from 57% in the first quarter of last year. That growth was the 14th straight quarter of SHOP same-store NOI growth above 20%, supported by a 64% flow-through margin and same-store NOI margin expansion of 320 basis points to 30.9%. Management's full-year guidance calls for SHOP same-store NOI growth of 16.5%–21.5%, so Q2 needs to stay solidly within that band (ideally toward the top) to keep the raise cadence going.</w:t>
      </w:r>
    </w:p>
    <w:p>
      <w:pPr>
        <w:pStyle w:val="BodyText"/>
      </w:pPr>
      <w:r>
        <w:t xml:space="preserve">Investors should also watch occupancy. Total senior housing portfolio occupancy stood at 87% exiting Q1, and management has repeatedly flagged that communities running above 95% occupancy are generating outsized NOI growth (circa 20% NOI growth from communities with 95%-plus occupancy), while roughly 45% of same-store SHOP assets were still operating below 90% occupancy — the argument for a multi-year runway of occupancy-driven upside. Q2 is peak leasing season, so watch for sequential occupancy gains and RevPOR trends (Q1 RevPOR growth was 5%, with pricing power reportedly strongest in the highest-occupancy assets).</w:t>
      </w:r>
    </w:p>
    <w:bookmarkEnd w:id="11"/>
    <w:bookmarkStart w:id="12" w:name="Xb946e78ce250a19958c597fe90d4b61001e731f"/>
    <w:p>
      <w:pPr>
        <w:pStyle w:val="Heading3"/>
      </w:pPr>
      <w:r>
        <w:t xml:space="preserve">b) Investment pace and portfolio transformation</w:t>
      </w:r>
    </w:p>
    <w:p>
      <w:pPr>
        <w:pStyle w:val="FirstParagraph"/>
      </w:pPr>
      <w:r>
        <w:t xml:space="preserve">Capital deployment has been aggressive. By the Q1 call, investment volume for the year stood at $10.5 billion, up $4.8 billion since the February call, with $3.2 billion of investments completed in Q1 and an additional</w:t>
      </w:r>
      <w:r>
        <w:t xml:space="preserve"> </w:t>
      </w:r>
      <m:oMath>
        <m:r>
          <m:t>7.3</m:t>
        </m:r>
        <m:r>
          <m:t>b</m:t>
        </m:r>
        <m:r>
          <m:t>i</m:t>
        </m:r>
        <m:r>
          <m:t>l</m:t>
        </m:r>
        <m:r>
          <m:t>l</m:t>
        </m:r>
        <m:r>
          <m:t>i</m:t>
        </m:r>
        <m:r>
          <m:t>o</m:t>
        </m:r>
        <m:r>
          <m:t>n</m:t>
        </m:r>
        <m:r>
          <m:t>c</m:t>
        </m:r>
        <m:r>
          <m:t>l</m:t>
        </m:r>
        <m:r>
          <m:t>o</m:t>
        </m:r>
        <m:r>
          <m:t>s</m:t>
        </m:r>
        <m:r>
          <m:t>e</m:t>
        </m:r>
        <m:r>
          <m:t>d</m:t>
        </m:r>
        <m:r>
          <m:t>o</m:t>
        </m:r>
        <m:r>
          <m:t>r</m:t>
        </m:r>
        <m:r>
          <m:t>u</m:t>
        </m:r>
        <m:r>
          <m:t>n</m:t>
        </m:r>
        <m:r>
          <m:t>d</m:t>
        </m:r>
        <m:r>
          <m:t>e</m:t>
        </m:r>
        <m:r>
          <m:t>r</m:t>
        </m:r>
        <m:r>
          <m:t>c</m:t>
        </m:r>
        <m:r>
          <m:t>o</m:t>
        </m:r>
        <m:r>
          <m:t>n</m:t>
        </m:r>
        <m:r>
          <m:t>t</m:t>
        </m:r>
        <m:r>
          <m:t>r</m:t>
        </m:r>
        <m:r>
          <m:t>a</m:t>
        </m:r>
        <m:r>
          <m:t>c</m:t>
        </m:r>
        <m:r>
          <m:t>t</m:t>
        </m:r>
        <m:r>
          <m:rPr>
            <m:sty m:val="p"/>
          </m:rPr>
          <m:t>.</m:t>
        </m:r>
        <m:r>
          <m:t>T</m:t>
        </m:r>
        <m:r>
          <m:t>h</m:t>
        </m:r>
        <m:r>
          <m:t>e</m:t>
        </m:r>
        <m:r>
          <m:t>h</m:t>
        </m:r>
        <m:r>
          <m:t>e</m:t>
        </m:r>
        <m:r>
          <m:t>a</m:t>
        </m:r>
        <m:r>
          <m:t>d</m:t>
        </m:r>
        <m:r>
          <m:t>l</m:t>
        </m:r>
        <m:r>
          <m:t>i</m:t>
        </m:r>
        <m:r>
          <m:t>n</m:t>
        </m:r>
        <m:r>
          <m:t>e</m:t>
        </m:r>
        <m:r>
          <m:t>t</m:t>
        </m:r>
        <m:r>
          <m:t>r</m:t>
        </m:r>
        <m:r>
          <m:t>a</m:t>
        </m:r>
        <m:r>
          <m:t>n</m:t>
        </m:r>
        <m:r>
          <m:t>s</m:t>
        </m:r>
        <m:r>
          <m:t>a</m:t>
        </m:r>
        <m:r>
          <m:t>c</m:t>
        </m:r>
        <m:r>
          <m:t>t</m:t>
        </m:r>
        <m:r>
          <m:t>i</m:t>
        </m:r>
        <m:r>
          <m:t>o</m:t>
        </m:r>
        <m:r>
          <m:t>n</m:t>
        </m:r>
        <m:r>
          <m:t>c</m:t>
        </m:r>
        <m:r>
          <m:t>l</m:t>
        </m:r>
        <m:r>
          <m:t>o</m:t>
        </m:r>
        <m:r>
          <m:t>s</m:t>
        </m:r>
        <m:r>
          <m:t>i</m:t>
        </m:r>
        <m:r>
          <m:t>n</m:t>
        </m:r>
        <m:r>
          <m:t>g</m:t>
        </m:r>
        <m:r>
          <m:t>i</m:t>
        </m:r>
        <m:r>
          <m:t>n</m:t>
        </m:r>
        <m:r>
          <m:t>Q</m:t>
        </m:r>
        <m:r>
          <m:t>2</m:t>
        </m:r>
        <m:r>
          <m:t>i</m:t>
        </m:r>
        <m:r>
          <m:t>s</m:t>
        </m:r>
        <m:r>
          <m:t>t</m:t>
        </m:r>
        <m:r>
          <m:t>h</m:t>
        </m:r>
        <m:r>
          <m:t>e</m:t>
        </m:r>
        <m:r>
          <m:t>A</m:t>
        </m:r>
        <m:r>
          <m:t>m</m:t>
        </m:r>
        <m:r>
          <m:t>i</m:t>
        </m:r>
        <m:r>
          <m:t>c</m:t>
        </m:r>
        <m:r>
          <m:t>a</m:t>
        </m:r>
        <m:r>
          <m:t>S</m:t>
        </m:r>
        <m:r>
          <m:t>e</m:t>
        </m:r>
        <m:r>
          <m:t>n</m:t>
        </m:r>
        <m:r>
          <m:t>i</m:t>
        </m:r>
        <m:r>
          <m:t>o</m:t>
        </m:r>
        <m:r>
          <m:t>r</m:t>
        </m:r>
        <m:r>
          <m:t>L</m:t>
        </m:r>
        <m:r>
          <m:t>i</m:t>
        </m:r>
        <m:r>
          <m:t>f</m:t>
        </m:r>
        <m:r>
          <m:t>e</m:t>
        </m:r>
        <m:r>
          <m:t>s</m:t>
        </m:r>
        <m:r>
          <m:t>t</m:t>
        </m:r>
        <m:r>
          <m:t>y</m:t>
        </m:r>
        <m:r>
          <m:t>l</m:t>
        </m:r>
        <m:r>
          <m:t>e</m:t>
        </m:r>
        <m:r>
          <m:t>s</m:t>
        </m:r>
        <m:r>
          <m:t>a</m:t>
        </m:r>
        <m:r>
          <m:t>c</m:t>
        </m:r>
        <m:r>
          <m:t>q</m:t>
        </m:r>
        <m:r>
          <m:t>u</m:t>
        </m:r>
        <m:r>
          <m:t>i</m:t>
        </m:r>
        <m:r>
          <m:t>s</m:t>
        </m:r>
        <m:r>
          <m:t>i</m:t>
        </m:r>
        <m:r>
          <m:t>t</m:t>
        </m:r>
        <m:r>
          <m:t>i</m:t>
        </m:r>
        <m:r>
          <m:t>o</m:t>
        </m:r>
        <m:r>
          <m:t>n</m:t>
        </m:r>
        <m:r>
          <m:rPr>
            <m:sty m:val="p"/>
          </m:rPr>
          <m:t>—</m:t>
        </m:r>
        <m:r>
          <m:t>a</m:t>
        </m:r>
        <m:r>
          <m:t>r</m:t>
        </m:r>
        <m:r>
          <m:t>o</m:t>
        </m:r>
        <m:r>
          <m:t>u</m:t>
        </m:r>
        <m:r>
          <m:t>g</m:t>
        </m:r>
        <m:r>
          <m:t>h</m:t>
        </m:r>
        <m:r>
          <m:t>l</m:t>
        </m:r>
        <m:r>
          <m:t>y</m:t>
        </m:r>
        <m:r>
          <m:t>C</m:t>
        </m:r>
      </m:oMath>
      <w:r>
        <w:t xml:space="preserve">3+ billion deal in premium Toronto and Vancouver markets that closed in the second quarter, on top of Welltower's U.S. seniors housing equity fund, which became fully committed at $2.5 billion during Q1. Management has stressed that this is not a "cost of capital" or accretion-driven acquisition strategy: the company remains price disciplined with unlevered IRRs and discounts to replacement cost as guiding principles, with terms like "accretion" notably absent from investment committee conversations.</w:t>
      </w:r>
    </w:p>
    <w:p>
      <w:pPr>
        <w:pStyle w:val="BodyText"/>
      </w:pPr>
      <w:r>
        <w:t xml:space="preserve">Equally important is the disposition side. Management has been selling aggressively to upgrade portfolio quality: roughly $11 billion of dispositions since the beginning of 2025 have been meaningfully dilutive to 2026 earnings per share, but leadership argues this trades short-term EPS for a steeper long-term growth curve — assets acquired in Q4 2025 are expected to deliver 10x the growth in 2026 versus the assets sold. Watch for confirmation that this disposition program (large OM and long-term/post-acute sales, including the Kayne Anderson and Integra JV transactions) is substantially complete, and any incremental commentary on how much more dilution is left to absorb.</w:t>
      </w:r>
    </w:p>
    <w:bookmarkEnd w:id="12"/>
    <w:bookmarkStart w:id="13" w:name="c-balance-sheet-and-cost-of-capital"/>
    <w:p>
      <w:pPr>
        <w:pStyle w:val="Heading3"/>
      </w:pPr>
      <w:r>
        <w:t xml:space="preserve">c) Balance sheet and cost of capital</w:t>
      </w:r>
    </w:p>
    <w:p>
      <w:pPr>
        <w:pStyle w:val="FirstParagraph"/>
      </w:pPr>
      <w:r>
        <w:t xml:space="preserve">Welltower ended Q1 with a net debt to adjusted EBITDA ratio of 2.73x, more than a half-turn reduction from a year earlier, and management guided to a year-end net debt to adjusted EBITDA ratio of approximately 3x, modestly below prior expectations even after funding the heavy investment pipeline. The company has continued to tap debt markets on favorable terms: on July 13, 2026, Welltower OP LLC issued C</w:t>
      </w:r>
      <m:oMath>
        <m:r>
          <m:t>750</m:t>
        </m:r>
        <m:r>
          <m:t>m</m:t>
        </m:r>
        <m:r>
          <m:t>i</m:t>
        </m:r>
        <m:r>
          <m:t>l</m:t>
        </m:r>
        <m:r>
          <m:t>l</m:t>
        </m:r>
        <m:r>
          <m:t>i</m:t>
        </m:r>
        <m:r>
          <m:t>o</m:t>
        </m:r>
        <m:r>
          <m:t>n</m:t>
        </m:r>
        <m:r>
          <m:t>o</m:t>
        </m:r>
        <m:r>
          <m:t>f</m:t>
        </m:r>
        <m:r>
          <m:t>3.850</m:t>
        </m:r>
      </m:oMath>
      <w:r>
        <w:t xml:space="preserve">400 million of 4.150% notes due 2033, with proceeds earmarked for general corporate purposes, debt repayment, and funding the acquisition pipeline — a signal that cost-of-capital advantages remain intact even amid the "risk-off" tone Nikhil Chaudhri described in credit markets during Q1 (the macroeconomic and geopolitical backdrop has introduced meaningful volatility, with escalating Middle East conflict and renewed stress in private credit driving a more pronounced risk-off tone, higher treasury yields and strain in private lending markets). A key question for Q2: is Welltower's position as "the highest quality counterparty" continuing to translate into off-market deal flow and pricing advantages as smaller/leveraged buyers pull back?</w:t>
      </w:r>
    </w:p>
    <w:bookmarkEnd w:id="13"/>
    <w:bookmarkStart w:id="14" w:name="d-the-capital-light-optionality-story"/>
    <w:p>
      <w:pPr>
        <w:pStyle w:val="Heading3"/>
      </w:pPr>
      <w:r>
        <w:t xml:space="preserve">d) The capital-light optionality story</w:t>
      </w:r>
    </w:p>
    <w:p>
      <w:pPr>
        <w:pStyle w:val="FirstParagraph"/>
      </w:pPr>
      <w:r>
        <w:t xml:space="preserve">A newer and less-modeled storyline is Welltower's push into capital-light revenue streams. In Q1, the company disclosed it had begun licensing its proprietary data science/machine learning platform (built over a decade to support ~$80 billion of acquisition/disposition activity) to Public Storage and an unnamed global private equity firm, with management noting inbound interest from banks, sovereign wealth funds and other real estate players since the announcement. This is optionality rather than a near-term earnings driver, but investors should listen for updates on additional partnerships, monetization structure, and whether management sizes this as a meaningful third leg (alongside the balance sheet and the fund-management business) of the long-term growth algorithm.</w:t>
      </w:r>
    </w:p>
    <w:bookmarkEnd w:id="14"/>
    <w:bookmarkStart w:id="15" w:name="Xdf509ee05833ba6408aa8edc65baccaed3966a8"/>
    <w:p>
      <w:pPr>
        <w:pStyle w:val="Heading3"/>
      </w:pPr>
      <w:r>
        <w:t xml:space="preserve">e) Triple-net and other legacy segments — the slow-growth ballast</w:t>
      </w:r>
    </w:p>
    <w:p>
      <w:pPr>
        <w:pStyle w:val="FirstParagraph"/>
      </w:pPr>
      <w:r>
        <w:t xml:space="preserve">Away from SHOP, growth is modest but stable: seniors housing triple-net same-store NOI grew 3.9% with 1.23x trailing coverage, and long-term post-acute same-store NOI grew 2.6% with 1.32x coverage in Q1, broadly in line with full-year guidance of 2–4% growth for these segments. These are not the swing factors for the quarter but are worth a quick coverage-ratio check given ongoing operator stress narratives across the sector generally.</w:t>
      </w:r>
    </w:p>
    <w:bookmarkEnd w:id="15"/>
    <w:bookmarkEnd w:id="16"/>
    <w:bookmarkStart w:id="17" w:name="Xd3741663c04f6d46b9ea7b69823ea84c34115fb"/>
    <w:p>
      <w:pPr>
        <w:pStyle w:val="Heading2"/>
      </w:pPr>
      <w:r>
        <w:t xml:space="preserve">4. Guidance: Another Raise, or a Pause?</w:t>
      </w:r>
    </w:p>
    <w:p>
      <w:pPr>
        <w:pStyle w:val="FirstParagraph"/>
      </w:pPr>
      <w:r>
        <w:t xml:space="preserve">Current full-year 2026 guidance calls for normalized FFO of</w:t>
      </w:r>
      <w:r>
        <w:t xml:space="preserve"> </w:t>
      </w:r>
      <m:oMath>
        <m:r>
          <m:t>6.21</m:t>
        </m:r>
        <m:r>
          <m:rPr>
            <m:sty m:val="p"/>
          </m:rPr>
          <m:t>–</m:t>
        </m:r>
      </m:oMath>
      <w:r>
        <w:t xml:space="preserve">6.35 per share (midpoint $6.28), net income of</w:t>
      </w:r>
      <w:r>
        <w:t xml:space="preserve"> </w:t>
      </w:r>
      <m:oMath>
        <m:r>
          <m:t>3.24</m:t>
        </m:r>
        <m:r>
          <m:rPr>
            <m:sty m:val="p"/>
          </m:rPr>
          <m:t>–</m:t>
        </m:r>
      </m:oMath>
      <w:r>
        <w:t xml:space="preserve">3.38 per share, and total portfolio same-store NOI growth of 12.25%–16.00%, with SHOP guided to 16.5%–21.5% growth. Given Street consensus has already crept to $6.32 — above the guidance midpoint — the market appears to be pricing in another guidance raise. A beat-and-raise quarter would likely be well received given how much good news may already be reflected in the stock's run to record highs; an in-line quarter without a raise could disappoint given the priced-for-perfection setup.</w:t>
      </w:r>
    </w:p>
    <w:bookmarkEnd w:id="17"/>
    <w:bookmarkStart w:id="18" w:name="X0f5da261bc7e3a1cb4112827aa295cf9b1971ce"/>
    <w:p>
      <w:pPr>
        <w:pStyle w:val="Heading2"/>
      </w:pPr>
      <w:r>
        <w:t xml:space="preserve">5. Risks and Watch Items</w:t>
      </w:r>
    </w:p>
    <w:p>
      <w:pPr>
        <w:pStyle w:val="Compact"/>
        <w:numPr>
          <w:ilvl w:val="0"/>
          <w:numId w:val="1001"/>
        </w:numPr>
      </w:pPr>
      <w:r>
        <w:rPr>
          <w:b/>
          <w:bCs/>
        </w:rPr>
        <w:t xml:space="preserve">Valuation/sentiment risk:</w:t>
      </w:r>
      <w:r>
        <w:t xml:space="preserve"> </w:t>
      </w:r>
      <w:r>
        <w:t xml:space="preserve">With the stock up sharply over the past twelve months and trading near record highs, expectations are demanding — analyst consensus rating remains a "Buy," but several published price targets sit below or near the current share price, suggesting targets may need to move higher just to keep pace, or that the risk/reward has become more balanced after the rally.</w:t>
      </w:r>
    </w:p>
    <w:p>
      <w:pPr>
        <w:pStyle w:val="Compact"/>
        <w:numPr>
          <w:ilvl w:val="0"/>
          <w:numId w:val="1001"/>
        </w:numPr>
      </w:pPr>
      <w:r>
        <w:rPr>
          <w:b/>
          <w:bCs/>
        </w:rPr>
        <w:t xml:space="preserve">Capital markets volatility:</w:t>
      </w:r>
      <w:r>
        <w:t xml:space="preserve"> </w:t>
      </w:r>
      <w:r>
        <w:t xml:space="preserve">Management flagged escalating Middle East tensions, widening credit spreads, and private-credit stress as live risks to deal financing and counterparty behavior; a continuation or intensification of this backdrop could affect the pace/pricing of the remaining $7+ billion investment pipeline.</w:t>
      </w:r>
    </w:p>
    <w:p>
      <w:pPr>
        <w:pStyle w:val="Compact"/>
        <w:numPr>
          <w:ilvl w:val="0"/>
          <w:numId w:val="1001"/>
        </w:numPr>
      </w:pPr>
      <w:r>
        <w:rPr>
          <w:b/>
          <w:bCs/>
        </w:rPr>
        <w:t xml:space="preserve">Dilution from dispositions:</w:t>
      </w:r>
      <w:r>
        <w:t xml:space="preserve"> </w:t>
      </w:r>
      <w:r>
        <w:t xml:space="preserve">The roughly $11 billion of 2025–2026 asset sales are explicitly dilutive to near-term FFO; any surprise acceleration of further sales (or slower-than-expected redeployment) could pressure the print, even if it's framed as long-term-growth-positive.</w:t>
      </w:r>
    </w:p>
    <w:p>
      <w:pPr>
        <w:pStyle w:val="Compact"/>
        <w:numPr>
          <w:ilvl w:val="0"/>
          <w:numId w:val="1001"/>
        </w:numPr>
      </w:pPr>
      <w:r>
        <w:rPr>
          <w:b/>
          <w:bCs/>
        </w:rPr>
        <w:t xml:space="preserve">Execution on occupancy/leasing season:</w:t>
      </w:r>
      <w:r>
        <w:t xml:space="preserve"> </w:t>
      </w:r>
      <w:r>
        <w:t xml:space="preserve">Q2/Q3 is the seasonally important leasing period; a miss on occupancy or RevPOR trends versus the ~350bps occupancy growth and ~5% RevPOR growth embedded in guidance would be a read-through concern for the SHOP growth algorithm the whole stock story rests on.</w:t>
      </w:r>
    </w:p>
    <w:p>
      <w:pPr>
        <w:pStyle w:val="Compact"/>
        <w:numPr>
          <w:ilvl w:val="0"/>
          <w:numId w:val="1001"/>
        </w:numPr>
      </w:pPr>
      <w:r>
        <w:rPr>
          <w:b/>
          <w:bCs/>
        </w:rPr>
        <w:t xml:space="preserve">Rates/FX:</w:t>
      </w:r>
      <w:r>
        <w:t xml:space="preserve"> </w:t>
      </w:r>
      <w:r>
        <w:t xml:space="preserve">With meaningful UK and Canadian exposure and continued foreign-currency debt issuance (e.g., the July CAD notes), currency translation and cross-border rate moves remain a modest swing factor for reported same-store metrics.</w:t>
      </w:r>
    </w:p>
    <w:bookmarkEnd w:id="18"/>
    <w:bookmarkStart w:id="19" w:name="X49e34d9056703e0521ab3ce2e920b2c4ba97a36"/>
    <w:p>
      <w:pPr>
        <w:pStyle w:val="Heading2"/>
      </w:pPr>
      <w:r>
        <w:t xml:space="preserve">6. Bottom Line</w:t>
      </w:r>
    </w:p>
    <w:p>
      <w:pPr>
        <w:pStyle w:val="FirstParagraph"/>
      </w:pPr>
      <w:r>
        <w:t xml:space="preserve">Welltower goes into Q2 2026 earnings with momentum, a fortress balance sheet, and a demonstrated ability to beat and raise. The debate is less about whether the underlying senior housing fundamentals are healthy (they clearly are, per Q1's record 16.4% total portfolio same-store NOI growth) and more about whether the current share price already reflects that strength. Investors should focus the call on: (1) SHOP same-store NOI and occupancy trends relative to the 16.5%–21.5% full-year guide, (2) confirmation that the ~$7 billion pending investment pipeline (including Amica) is closing on schedule and at underwritten returns, (3) whether leverage stays on track toward the ~3x year-end target, and (4) any incremental detail on the capital-light data-science licensing business as a future growth lever beyond the core real estate portfolio.</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2026-07-27T00:35:00Z</dcterms:created>
  <dcterms:modified xsi:type="dcterms:W3CDTF">2026-07-27T00:35:00Z</dcterms:modified>
</cp:coreProperties>
</file>

<file path=docProps/custom.xml><?xml version="1.0" encoding="utf-8"?>
<Properties xmlns="http://schemas.openxmlformats.org/officeDocument/2006/custom-properties" xmlns:vt="http://schemas.openxmlformats.org/officeDocument/2006/docPropsVTypes"/>
</file>