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286fcc7ab0e935483d9d7f19dc9ed0d5005ea1f"/>
    <w:p>
      <w:pPr>
        <w:pStyle w:val="Heading1"/>
      </w:pPr>
      <w:r>
        <w:t xml:space="preserve">Welltower (NYSE: WELL) — Q2 2026 Earnings Preview</w:t>
      </w:r>
    </w:p>
    <w:p>
      <w:pPr>
        <w:pStyle w:val="BlockText"/>
      </w:pPr>
      <w:r>
        <w:rPr>
          <w:b/>
          <w:bCs/>
        </w:rPr>
        <w:t xml:space="preserve">Timing clarification:</w:t>
      </w:r>
      <w:r>
        <w:t xml:space="preserve"> </w:t>
      </w:r>
      <w:r>
        <w:t xml:space="preserve">Welltower is scheduled to release Q2 results</w:t>
      </w:r>
      <w:r>
        <w:t xml:space="preserve"> </w:t>
      </w:r>
      <w:r>
        <w:rPr>
          <w:b/>
          <w:bCs/>
        </w:rPr>
        <w:t xml:space="preserve">after the market closes today, Monday, July 27, 2026</w:t>
      </w:r>
      <w:r>
        <w:t xml:space="preserve">. The earnings call is</w:t>
      </w:r>
      <w:r>
        <w:t xml:space="preserve"> </w:t>
      </w:r>
      <w:r>
        <w:rPr>
          <w:b/>
          <w:bCs/>
        </w:rPr>
        <w:t xml:space="preserve">tomorrow, Tuesday, July 28, at 9:00 a.m. ET</w:t>
      </w:r>
      <w:r>
        <w:t xml:space="preserve">. (</w:t>
      </w:r>
      <w:hyperlink r:id="rId9">
        <w:r>
          <w:rPr>
            <w:rStyle w:val="Hyperlink"/>
          </w:rPr>
          <w:t xml:space="preserve">welltower.com</w:t>
        </w:r>
      </w:hyperlink>
      <w:r>
        <w:t xml:space="preserve">)</w:t>
      </w:r>
    </w:p>
    <w:bookmarkStart w:id="11" w:name="investment-view-going-into-the-report"/>
    <w:p>
      <w:pPr>
        <w:pStyle w:val="Heading2"/>
      </w:pPr>
      <w:r>
        <w:t xml:space="preserve">Investment view going into the report</w:t>
      </w:r>
    </w:p>
    <w:p>
      <w:pPr>
        <w:pStyle w:val="FirstParagraph"/>
      </w:pPr>
      <w:r>
        <w:t xml:space="preserve">Welltower enters Q2 with exceptionally strong operating momentum—and an exceptionally demanding valuation.</w:t>
      </w:r>
    </w:p>
    <w:p>
      <w:pPr>
        <w:pStyle w:val="BodyText"/>
      </w:pPr>
      <w:r>
        <w:t xml:space="preserve">The core senior-housing business continues to benefit from occupancy recovery, pricing power, limited new supply and operating leverage. Meanwhile, Welltower’s strong balance sheet and cost of capital have allowed it to acquire assets at a pace few competitors can match.</w:t>
      </w:r>
    </w:p>
    <w:p>
      <w:pPr>
        <w:pStyle w:val="BodyText"/>
      </w:pPr>
      <w:r>
        <w:t xml:space="preserve">But much of that strength is now reflected in the stock. WELL closed around</w:t>
      </w:r>
      <w:r>
        <w:t xml:space="preserve"> </w:t>
      </w:r>
      <w:r>
        <w:rPr>
          <w:b/>
          <w:bCs/>
        </w:rPr>
        <w:t xml:space="preserve">$252.50 on July 24</w:t>
      </w:r>
      <w:r>
        <w:t xml:space="preserve">, up roughly</w:t>
      </w:r>
      <w:r>
        <w:t xml:space="preserve"> </w:t>
      </w:r>
      <w:r>
        <w:rPr>
          <w:b/>
          <w:bCs/>
        </w:rPr>
        <w:t xml:space="preserve">36% year to date</w:t>
      </w:r>
      <w:r>
        <w:t xml:space="preserve">, and trades at approximately</w:t>
      </w:r>
      <w:r>
        <w:t xml:space="preserve"> </w:t>
      </w:r>
      <w:r>
        <w:rPr>
          <w:b/>
          <w:bCs/>
        </w:rPr>
        <w:t xml:space="preserve">40x the midpoint of management’s 2026 normalized FFO guidance</w:t>
      </w:r>
      <w:r>
        <w:t xml:space="preserve">. Consequently, merely meeting estimates may not be enough: investors are likely looking for another guidance increase, continued 20%-type senior-housing NOI growth and evidence that recent acquisitions can extend—not dilute—the company’s per-share growth trajectory. (</w:t>
      </w:r>
      <w:hyperlink r:id="rId10">
        <w:r>
          <w:rPr>
            <w:rStyle w:val="Hyperlink"/>
          </w:rPr>
          <w:t xml:space="preserve">marketbeat.com</w:t>
        </w:r>
      </w:hyperlink>
      <w:r>
        <w:t xml:space="preserve">)</w:t>
      </w:r>
    </w:p>
    <w:bookmarkEnd w:id="11"/>
    <w:bookmarkStart w:id="13" w:name="street-expectations"/>
    <w:p>
      <w:pPr>
        <w:pStyle w:val="Heading2"/>
      </w:pPr>
      <w:r>
        <w:t xml:space="preserve">Street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Normalized FFO per share</w:t>
            </w:r>
          </w:p>
        </w:tc>
        <w:tc>
          <w:tcPr/>
          <w:p>
            <w:pPr>
              <w:pStyle w:val="Compact"/>
              <w:jc w:val="right"/>
            </w:pPr>
            <w:r>
              <w:rPr>
                <w:b/>
                <w:bCs/>
              </w:rPr>
              <w:t xml:space="preserve">$1.55</w:t>
            </w:r>
          </w:p>
        </w:tc>
        <w:tc>
          <w:tcPr/>
          <w:p>
            <w:pPr>
              <w:pStyle w:val="Compact"/>
              <w:jc w:val="right"/>
            </w:pPr>
            <w:r>
              <w:t xml:space="preserve">$1.28</w:t>
            </w:r>
          </w:p>
        </w:tc>
        <w:tc>
          <w:tcPr/>
          <w:p>
            <w:pPr>
              <w:pStyle w:val="Compact"/>
              <w:jc w:val="right"/>
            </w:pPr>
            <w:r>
              <w:rPr>
                <w:b/>
                <w:bCs/>
              </w:rPr>
              <w:t xml:space="preserve">~21%</w:t>
            </w:r>
          </w:p>
        </w:tc>
      </w:tr>
      <w:tr>
        <w:tc>
          <w:tcPr/>
          <w:p>
            <w:pPr>
              <w:pStyle w:val="Compact"/>
            </w:pPr>
            <w:r>
              <w:t xml:space="preserve">Revenue</w:t>
            </w:r>
          </w:p>
        </w:tc>
        <w:tc>
          <w:tcPr/>
          <w:p>
            <w:pPr>
              <w:pStyle w:val="Compact"/>
              <w:jc w:val="right"/>
            </w:pPr>
            <w:r>
              <w:rPr>
                <w:b/>
                <w:bCs/>
              </w:rPr>
              <w:t xml:space="preserve">$3.43 billion</w:t>
            </w:r>
          </w:p>
        </w:tc>
        <w:tc>
          <w:tcPr/>
          <w:p>
            <w:pPr>
              <w:pStyle w:val="Compact"/>
              <w:jc w:val="right"/>
            </w:pPr>
            <w:r>
              <w:t xml:space="preserve">$2.55 billion</w:t>
            </w:r>
          </w:p>
        </w:tc>
        <w:tc>
          <w:tcPr/>
          <w:p>
            <w:pPr>
              <w:pStyle w:val="Compact"/>
              <w:jc w:val="right"/>
            </w:pPr>
            <w:r>
              <w:rPr>
                <w:b/>
                <w:bCs/>
              </w:rPr>
              <w:t xml:space="preserve">~35%</w:t>
            </w:r>
          </w:p>
        </w:tc>
      </w:tr>
      <w:tr>
        <w:tc>
          <w:tcPr/>
          <w:p>
            <w:pPr>
              <w:pStyle w:val="Compact"/>
            </w:pPr>
            <w:r>
              <w:t xml:space="preserve">GAAP EPS</w:t>
            </w:r>
          </w:p>
        </w:tc>
        <w:tc>
          <w:tcPr/>
          <w:p>
            <w:pPr>
              <w:pStyle w:val="Compact"/>
              <w:jc w:val="right"/>
            </w:pPr>
            <w:r>
              <w:t xml:space="preserve">Approximately</w:t>
            </w:r>
            <w:r>
              <w:t xml:space="preserve"> </w:t>
            </w:r>
            <w:r>
              <w:rPr>
                <w:b/>
                <w:bCs/>
              </w:rPr>
              <w:t xml:space="preserve">$0.64</w:t>
            </w:r>
          </w:p>
        </w:tc>
        <w:tc>
          <w:tcPr/>
          <w:p>
            <w:pPr>
              <w:pStyle w:val="Compact"/>
              <w:jc w:val="right"/>
            </w:pPr>
            <w:r>
              <w:t xml:space="preserve">$0.45</w:t>
            </w:r>
          </w:p>
        </w:tc>
        <w:tc>
          <w:tcPr/>
          <w:p>
            <w:pPr>
              <w:pStyle w:val="Compact"/>
              <w:jc w:val="right"/>
            </w:pPr>
            <w:r>
              <w:t xml:space="preserve">Less useful due to real-estate gains and depreciation</w:t>
            </w:r>
          </w:p>
        </w:tc>
      </w:tr>
    </w:tbl>
    <w:p>
      <w:pPr>
        <w:pStyle w:val="BodyText"/>
      </w:pPr>
      <w:r>
        <w:t xml:space="preserve">The normalized FFO estimate has increased by approximately $0.01 over the past month. Welltower has beaten normalized FFO expectations in each of the past four quarters, with an average surprise of about 2.5%. (</w:t>
      </w:r>
      <w:hyperlink r:id="rId12">
        <w:r>
          <w:rPr>
            <w:rStyle w:val="Hyperlink"/>
          </w:rPr>
          <w:t xml:space="preserve">zacks.com</w:t>
        </w:r>
      </w:hyperlink>
      <w:r>
        <w:t xml:space="preserve">)</w:t>
      </w:r>
    </w:p>
    <w:p>
      <w:pPr>
        <w:pStyle w:val="BodyText"/>
      </w:pPr>
      <w:r>
        <w:t xml:space="preserve">For this REIT,</w:t>
      </w:r>
      <w:r>
        <w:t xml:space="preserve"> </w:t>
      </w:r>
      <w:r>
        <w:rPr>
          <w:b/>
          <w:bCs/>
        </w:rPr>
        <w:t xml:space="preserve">normalized FFO, same-store NOI and operating metrics matter more than GAAP EPS</w:t>
      </w:r>
      <w:r>
        <w:t xml:space="preserve">.</w:t>
      </w:r>
    </w:p>
    <w:p>
      <w:r>
        <w:pict>
          <v:rect style="width:0;height:1.5pt" o:hralign="center" o:hrstd="t" o:hr="t"/>
        </w:pict>
      </w:r>
    </w:p>
    <w:bookmarkEnd w:id="13"/>
    <w:bookmarkStart w:id="17" w:name="Xc7f36a265c54962c0d06ed507be0aa3cfb477e9"/>
    <w:p>
      <w:pPr>
        <w:pStyle w:val="Heading2"/>
      </w:pPr>
      <w:r>
        <w:t xml:space="preserve">1. Senior-housing operations remain the central issue</w:t>
      </w:r>
    </w:p>
    <w:p>
      <w:pPr>
        <w:pStyle w:val="FirstParagraph"/>
      </w:pPr>
      <w:r>
        <w:t xml:space="preserve">In Q1, Welltower delivered:</w:t>
      </w:r>
    </w:p>
    <w:p>
      <w:pPr>
        <w:pStyle w:val="Compact"/>
        <w:numPr>
          <w:ilvl w:val="0"/>
          <w:numId w:val="1001"/>
        </w:numPr>
      </w:pPr>
      <w:r>
        <w:rPr>
          <w:b/>
          <w:bCs/>
        </w:rPr>
        <w:t xml:space="preserve">22.1%</w:t>
      </w:r>
      <w:r>
        <w:t xml:space="preserve"> </w:t>
      </w:r>
      <w:r>
        <w:t xml:space="preserve">same-store NOI growth in its Seniors Housing Operating, or SHO, portfolio</w:t>
      </w:r>
    </w:p>
    <w:p>
      <w:pPr>
        <w:pStyle w:val="Compact"/>
        <w:numPr>
          <w:ilvl w:val="0"/>
          <w:numId w:val="1001"/>
        </w:numPr>
      </w:pPr>
      <w:r>
        <w:rPr>
          <w:b/>
          <w:bCs/>
        </w:rPr>
        <w:t xml:space="preserve">9.5%</w:t>
      </w:r>
      <w:r>
        <w:t xml:space="preserve"> </w:t>
      </w:r>
      <w:r>
        <w:t xml:space="preserve">same-store revenue growth</w:t>
      </w:r>
    </w:p>
    <w:p>
      <w:pPr>
        <w:pStyle w:val="Compact"/>
        <w:numPr>
          <w:ilvl w:val="0"/>
          <w:numId w:val="1001"/>
        </w:numPr>
      </w:pPr>
      <w:r>
        <w:rPr>
          <w:b/>
          <w:bCs/>
        </w:rPr>
        <w:t xml:space="preserve">370 basis points</w:t>
      </w:r>
      <w:r>
        <w:t xml:space="preserve"> </w:t>
      </w:r>
      <w:r>
        <w:t xml:space="preserve">of year-over-year occupancy growth</w:t>
      </w:r>
    </w:p>
    <w:p>
      <w:pPr>
        <w:pStyle w:val="Compact"/>
        <w:numPr>
          <w:ilvl w:val="0"/>
          <w:numId w:val="1001"/>
        </w:numPr>
      </w:pPr>
      <w:r>
        <w:rPr>
          <w:b/>
          <w:bCs/>
        </w:rPr>
        <w:t xml:space="preserve">5.0%</w:t>
      </w:r>
      <w:r>
        <w:t xml:space="preserve"> </w:t>
      </w:r>
      <w:r>
        <w:t xml:space="preserve">RevPOR growth</w:t>
      </w:r>
    </w:p>
    <w:p>
      <w:pPr>
        <w:pStyle w:val="Compact"/>
        <w:numPr>
          <w:ilvl w:val="0"/>
          <w:numId w:val="1001"/>
        </w:numPr>
      </w:pPr>
      <w:r>
        <w:t xml:space="preserve">Just</w:t>
      </w:r>
      <w:r>
        <w:t xml:space="preserve"> </w:t>
      </w:r>
      <w:r>
        <w:rPr>
          <w:b/>
          <w:bCs/>
        </w:rPr>
        <w:t xml:space="preserve">0.4%</w:t>
      </w:r>
      <w:r>
        <w:t xml:space="preserve"> </w:t>
      </w:r>
      <w:r>
        <w:t xml:space="preserve">ExpPOR growth</w:t>
      </w:r>
    </w:p>
    <w:p>
      <w:pPr>
        <w:pStyle w:val="Compact"/>
        <w:numPr>
          <w:ilvl w:val="0"/>
          <w:numId w:val="1001"/>
        </w:numPr>
      </w:pPr>
      <w:r>
        <w:rPr>
          <w:b/>
          <w:bCs/>
        </w:rPr>
        <w:t xml:space="preserve">320 basis points</w:t>
      </w:r>
      <w:r>
        <w:t xml:space="preserve"> </w:t>
      </w:r>
      <w:r>
        <w:t xml:space="preserve">of margin expansion, to 30.9%</w:t>
      </w:r>
    </w:p>
    <w:p>
      <w:pPr>
        <w:pStyle w:val="FirstParagraph"/>
      </w:pPr>
      <w:r>
        <w:t xml:space="preserve">SHO represented roughly 74% of same-store NOI, making its performance the overwhelming driver of the consolidated growth rate. (</w:t>
      </w:r>
      <w:hyperlink r:id="rId14">
        <w:r>
          <w:rPr>
            <w:rStyle w:val="Hyperlink"/>
          </w:rPr>
          <w:t xml:space="preserve">welltower.com</w:t>
        </w:r>
      </w:hyperlink>
      <w:r>
        <w:t xml:space="preserve">)</w:t>
      </w:r>
    </w:p>
    <w:bookmarkStart w:id="15" w:name="metrics-to-watch"/>
    <w:p>
      <w:pPr>
        <w:pStyle w:val="Heading3"/>
      </w:pPr>
      <w:r>
        <w:t xml:space="preserve">Metrics to watch</w:t>
      </w:r>
    </w:p>
    <w:p>
      <w:pPr>
        <w:pStyle w:val="FirstParagraph"/>
      </w:pPr>
      <w:r>
        <w:rPr>
          <w:b/>
          <w:bCs/>
        </w:rPr>
        <w:t xml:space="preserve">Occupancy:</w:t>
      </w:r>
      <w:r>
        <w:t xml:space="preserve"> </w:t>
      </w:r>
      <w:r>
        <w:t xml:space="preserve">Management’s full-year outlook assumes approximately 350 basis points of year-over-year occupancy growth. Q2 includes an important portion of the peak leasing season, so investors will want evidence that occupancy momentum remains around or above that level.</w:t>
      </w:r>
    </w:p>
    <w:p>
      <w:pPr>
        <w:pStyle w:val="BodyText"/>
      </w:pPr>
      <w:r>
        <w:rPr>
          <w:b/>
          <w:bCs/>
        </w:rPr>
        <w:t xml:space="preserve">RevPOR:</w:t>
      </w:r>
      <w:r>
        <w:t xml:space="preserve"> </w:t>
      </w:r>
      <w:r>
        <w:t xml:space="preserve">The full-year assumption is 5% growth. Results near 5% would confirm that Welltower can retain pricing power while leasing up the portfolio. A material deceleration would raise questions about whether occupancy is being bought through lower pricing.</w:t>
      </w:r>
    </w:p>
    <w:p>
      <w:pPr>
        <w:pStyle w:val="BodyText"/>
      </w:pPr>
      <w:r>
        <w:rPr>
          <w:b/>
          <w:bCs/>
        </w:rPr>
        <w:t xml:space="preserve">ExpPOR and labor:</w:t>
      </w:r>
      <w:r>
        <w:t xml:space="preserve"> </w:t>
      </w:r>
      <w:r>
        <w:t xml:space="preserve">Q1’s 0.4% ExpPOR increase was unusually low. Management’s full-year guidance implies ExpPOR growth below 1.5%. This is arguably the most important operating number after occupancy: modest unit-cost growth allows incremental revenue to flow through at very high margins.</w:t>
      </w:r>
    </w:p>
    <w:p>
      <w:pPr>
        <w:pStyle w:val="BodyText"/>
      </w:pPr>
      <w:r>
        <w:rPr>
          <w:b/>
          <w:bCs/>
        </w:rPr>
        <w:t xml:space="preserve">Margins:</w:t>
      </w:r>
      <w:r>
        <w:t xml:space="preserve"> </w:t>
      </w:r>
      <w:r>
        <w:t xml:space="preserve">Q1 SHO margins expanded 320 basis points. Continued expansion around 300 basis points would support management’s argument that the recovery has years left to run, even as occupancy approaches prior peaks.</w:t>
      </w:r>
    </w:p>
    <w:bookmarkEnd w:id="15"/>
    <w:bookmarkStart w:id="16" w:name="what-would-be-encouraging"/>
    <w:p>
      <w:pPr>
        <w:pStyle w:val="Heading3"/>
      </w:pPr>
      <w:r>
        <w:t xml:space="preserve">What would be encouraging</w:t>
      </w:r>
    </w:p>
    <w:p>
      <w:pPr>
        <w:pStyle w:val="FirstParagraph"/>
      </w:pPr>
      <w:r>
        <w:t xml:space="preserve">A particularly strong combination would be:</w:t>
      </w:r>
    </w:p>
    <w:p>
      <w:pPr>
        <w:pStyle w:val="Compact"/>
        <w:numPr>
          <w:ilvl w:val="0"/>
          <w:numId w:val="1002"/>
        </w:numPr>
      </w:pPr>
      <w:r>
        <w:t xml:space="preserve">Occupancy growth of at least roughly 350 basis points</w:t>
      </w:r>
    </w:p>
    <w:p>
      <w:pPr>
        <w:pStyle w:val="Compact"/>
        <w:numPr>
          <w:ilvl w:val="0"/>
          <w:numId w:val="1002"/>
        </w:numPr>
      </w:pPr>
      <w:r>
        <w:t xml:space="preserve">RevPOR near 5%</w:t>
      </w:r>
    </w:p>
    <w:p>
      <w:pPr>
        <w:pStyle w:val="Compact"/>
        <w:numPr>
          <w:ilvl w:val="0"/>
          <w:numId w:val="1002"/>
        </w:numPr>
      </w:pPr>
      <w:r>
        <w:t xml:space="preserve">ExpPOR below 1.5%</w:t>
      </w:r>
    </w:p>
    <w:p>
      <w:pPr>
        <w:pStyle w:val="Compact"/>
        <w:numPr>
          <w:ilvl w:val="0"/>
          <w:numId w:val="1002"/>
        </w:numPr>
      </w:pPr>
      <w:r>
        <w:t xml:space="preserve">SHO same-store NOI growth at or above 20%</w:t>
      </w:r>
    </w:p>
    <w:p>
      <w:pPr>
        <w:pStyle w:val="Compact"/>
        <w:numPr>
          <w:ilvl w:val="0"/>
          <w:numId w:val="1002"/>
        </w:numPr>
      </w:pPr>
      <w:r>
        <w:t xml:space="preserve">No indication that service quality or staffing is being compromised to contain expenses</w:t>
      </w:r>
    </w:p>
    <w:p>
      <w:pPr>
        <w:pStyle w:val="FirstParagraph"/>
      </w:pPr>
      <w:r>
        <w:t xml:space="preserve">The last point matters because extremely low labor-cost growth may not be indefinitely repeatable.</w:t>
      </w:r>
    </w:p>
    <w:p>
      <w:r>
        <w:pict>
          <v:rect style="width:0;height:1.5pt" o:hralign="center" o:hrstd="t" o:hr="t"/>
        </w:pict>
      </w:r>
    </w:p>
    <w:bookmarkEnd w:id="16"/>
    <w:bookmarkEnd w:id="17"/>
    <w:bookmarkStart w:id="19" w:name="Xabb4ad3374f99a9a96a7ed218085b7f215e73fd"/>
    <w:p>
      <w:pPr>
        <w:pStyle w:val="Heading2"/>
      </w:pPr>
      <w:r>
        <w:t xml:space="preserve">2. Another guidance increase appears to be the real hurdle</w:t>
      </w:r>
    </w:p>
    <w:p>
      <w:pPr>
        <w:pStyle w:val="FirstParagraph"/>
      </w:pPr>
      <w:r>
        <w:t xml:space="preserve">After Q1, Welltower raised 2026 normalized FFO guidance from</w:t>
      </w:r>
      <w:r>
        <w:t xml:space="preserve"> </w:t>
      </w:r>
      <m:oMath>
        <m:r>
          <m:t>6.09</m:t>
        </m:r>
        <m:r>
          <m:rPr>
            <m:sty m:val="p"/>
          </m:rPr>
          <m:t>–</m:t>
        </m:r>
      </m:oMath>
      <w:r>
        <w:rPr>
          <w:b/>
          <w:bCs/>
        </w:rPr>
        <w:t xml:space="preserve">6.25</w:t>
      </w:r>
      <w:r>
        <w:t xml:space="preserve"> </w:t>
      </w:r>
      <w:r>
        <w:t xml:space="preserve">to</w:t>
      </w:r>
      <w:r>
        <w:t xml:space="preserve"> </w:t>
      </w:r>
      <m:oMath>
        <m:r>
          <m:t>6.21</m:t>
        </m:r>
        <m:r>
          <m:rPr>
            <m:sty m:val="p"/>
          </m:rPr>
          <m:t>–</m:t>
        </m:r>
      </m:oMath>
      <w:r>
        <w:rPr>
          <w:b/>
          <w:bCs/>
        </w:rPr>
        <w:t xml:space="preserve">6.35</w:t>
      </w:r>
      <w:r>
        <w:t xml:space="preserve">, lifting the midpoint by</w:t>
      </w:r>
      <w:r>
        <w:t xml:space="preserve"> </w:t>
      </w:r>
      <m:oMath>
        <m:r>
          <m:t>0.11</m:t>
        </m:r>
        <m:r>
          <m:t>t</m:t>
        </m:r>
        <m:r>
          <m:t>o</m:t>
        </m:r>
        <m:r>
          <m:rPr>
            <m:sty m:val="p"/>
          </m:rPr>
          <m:t>*</m:t>
        </m:r>
        <m:r>
          <m:rPr>
            <m:sty m:val="p"/>
          </m:rPr>
          <m:t>*</m:t>
        </m:r>
      </m:oMath>
      <w:r>
        <w:t xml:space="preserve">6.28**. It also raised the midpoint of SHO same-store NOI guidance to 19%. (</w:t>
      </w:r>
      <w:hyperlink r:id="rId14">
        <w:r>
          <w:rPr>
            <w:rStyle w:val="Hyperlink"/>
          </w:rPr>
          <w:t xml:space="preserve">welltower.com</w:t>
        </w:r>
      </w:hyperlink>
      <w:r>
        <w:t xml:space="preserve">)</w:t>
      </w:r>
    </w:p>
    <w:p>
      <w:pPr>
        <w:pStyle w:val="BodyText"/>
      </w:pPr>
      <w:r>
        <w:t xml:space="preserve">Current full-year operating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Segment</w:t>
            </w:r>
          </w:p>
        </w:tc>
        <w:tc>
          <w:tcPr/>
          <w:p>
            <w:pPr>
              <w:pStyle w:val="Compact"/>
              <w:jc w:val="right"/>
            </w:pPr>
            <w:r>
              <w:t xml:space="preserve">2026 same-store NOI growth</w:t>
            </w:r>
          </w:p>
        </w:tc>
      </w:tr>
      <w:tr>
        <w:tc>
          <w:tcPr/>
          <w:p>
            <w:pPr>
              <w:pStyle w:val="Compact"/>
            </w:pPr>
            <w:r>
              <w:t xml:space="preserve">Seniors Housing Operating</w:t>
            </w:r>
          </w:p>
        </w:tc>
        <w:tc>
          <w:tcPr/>
          <w:p>
            <w:pPr>
              <w:pStyle w:val="Compact"/>
              <w:jc w:val="right"/>
            </w:pPr>
            <w:r>
              <w:rPr>
                <w:b/>
                <w:bCs/>
              </w:rPr>
              <w:t xml:space="preserve">16.5%–21.5%</w:t>
            </w:r>
          </w:p>
        </w:tc>
      </w:tr>
      <w:tr>
        <w:tc>
          <w:tcPr/>
          <w:p>
            <w:pPr>
              <w:pStyle w:val="Compact"/>
            </w:pPr>
            <w:r>
              <w:t xml:space="preserve">Seniors Housing Triple-Net</w:t>
            </w:r>
          </w:p>
        </w:tc>
        <w:tc>
          <w:tcPr/>
          <w:p>
            <w:pPr>
              <w:pStyle w:val="Compact"/>
              <w:jc w:val="right"/>
            </w:pPr>
            <w:r>
              <w:t xml:space="preserve">3.0%–4.0%</w:t>
            </w:r>
          </w:p>
        </w:tc>
      </w:tr>
      <w:tr>
        <w:tc>
          <w:tcPr/>
          <w:p>
            <w:pPr>
              <w:pStyle w:val="Compact"/>
            </w:pPr>
            <w:r>
              <w:t xml:space="preserve">Outpatient Medical</w:t>
            </w:r>
          </w:p>
        </w:tc>
        <w:tc>
          <w:tcPr/>
          <w:p>
            <w:pPr>
              <w:pStyle w:val="Compact"/>
              <w:jc w:val="right"/>
            </w:pPr>
            <w:r>
              <w:t xml:space="preserve">2.0%–3.0%</w:t>
            </w:r>
          </w:p>
        </w:tc>
      </w:tr>
      <w:tr>
        <w:tc>
          <w:tcPr/>
          <w:p>
            <w:pPr>
              <w:pStyle w:val="Compact"/>
            </w:pPr>
            <w:r>
              <w:t xml:space="preserve">Long-Term/Post-Acute Care</w:t>
            </w:r>
          </w:p>
        </w:tc>
        <w:tc>
          <w:tcPr/>
          <w:p>
            <w:pPr>
              <w:pStyle w:val="Compact"/>
              <w:jc w:val="right"/>
            </w:pPr>
            <w:r>
              <w:t xml:space="preserve">2.0%–3.0%</w:t>
            </w:r>
          </w:p>
        </w:tc>
      </w:tr>
      <w:tr>
        <w:tc>
          <w:tcPr/>
          <w:p>
            <w:pPr>
              <w:pStyle w:val="Compact"/>
            </w:pPr>
            <w:r>
              <w:t xml:space="preserve">Total portfolio</w:t>
            </w:r>
          </w:p>
        </w:tc>
        <w:tc>
          <w:tcPr/>
          <w:p>
            <w:pPr>
              <w:pStyle w:val="Compact"/>
              <w:jc w:val="right"/>
            </w:pPr>
            <w:r>
              <w:rPr>
                <w:b/>
                <w:bCs/>
              </w:rPr>
              <w:t xml:space="preserve">12.25%–16.0%</w:t>
            </w:r>
          </w:p>
        </w:tc>
      </w:tr>
    </w:tbl>
    <w:p>
      <w:pPr>
        <w:pStyle w:val="BodyText"/>
      </w:pPr>
      <w:r>
        <w:t xml:space="preserve">Given the stock’s appreciation and Q1’s above-plan performance, investors are likely pricing in another increase.</w:t>
      </w:r>
    </w:p>
    <w:bookmarkStart w:id="18" w:name="guidance-scenarios"/>
    <w:p>
      <w:pPr>
        <w:pStyle w:val="Heading3"/>
      </w:pPr>
      <w:r>
        <w:t xml:space="preserve">Guidance scenarios</w:t>
      </w:r>
    </w:p>
    <w:p>
      <w:pPr>
        <w:pStyle w:val="Compact"/>
        <w:numPr>
          <w:ilvl w:val="0"/>
          <w:numId w:val="1003"/>
        </w:numPr>
      </w:pPr>
      <w:r>
        <w:rPr>
          <w:b/>
          <w:bCs/>
        </w:rPr>
        <w:t xml:space="preserve">Bullish:</w:t>
      </w:r>
      <w:r>
        <w:t xml:space="preserve"> </w:t>
      </w:r>
      <w:r>
        <w:t xml:space="preserve">FFO midpoint rises by $0.05 or more, accompanied by a higher SHO NOI outlook or stronger occupancy assumptions.</w:t>
      </w:r>
    </w:p>
    <w:p>
      <w:pPr>
        <w:pStyle w:val="Compact"/>
        <w:numPr>
          <w:ilvl w:val="0"/>
          <w:numId w:val="1003"/>
        </w:numPr>
      </w:pPr>
      <w:r>
        <w:rPr>
          <w:b/>
          <w:bCs/>
        </w:rPr>
        <w:t xml:space="preserve">Acceptable:</w:t>
      </w:r>
      <w:r>
        <w:t xml:space="preserve"> </w:t>
      </w:r>
      <w:r>
        <w:t xml:space="preserve">Modest guidance increase with continued strong operating trends and no new execution concerns.</w:t>
      </w:r>
    </w:p>
    <w:p>
      <w:pPr>
        <w:pStyle w:val="Compact"/>
        <w:numPr>
          <w:ilvl w:val="0"/>
          <w:numId w:val="1003"/>
        </w:numPr>
      </w:pPr>
      <w:r>
        <w:rPr>
          <w:b/>
          <w:bCs/>
        </w:rPr>
        <w:t xml:space="preserve">Potentially disappointing:</w:t>
      </w:r>
      <w:r>
        <w:t xml:space="preserve"> </w:t>
      </w:r>
      <w:r>
        <w:t xml:space="preserve">Guidance is merely maintained despite a Q2 beat.</w:t>
      </w:r>
    </w:p>
    <w:p>
      <w:pPr>
        <w:pStyle w:val="Compact"/>
        <w:numPr>
          <w:ilvl w:val="0"/>
          <w:numId w:val="1003"/>
        </w:numPr>
      </w:pPr>
      <w:r>
        <w:rPr>
          <w:b/>
          <w:bCs/>
        </w:rPr>
        <w:t xml:space="preserve">Clearly negative:</w:t>
      </w:r>
      <w:r>
        <w:t xml:space="preserve"> </w:t>
      </w:r>
      <w:r>
        <w:t xml:space="preserve">Lower expense expectations fail to materialize, acquisition timing slips or management trims the SHO growth range.</w:t>
      </w:r>
    </w:p>
    <w:p>
      <w:pPr>
        <w:pStyle w:val="FirstParagraph"/>
      </w:pPr>
      <w:r>
        <w:t xml:space="preserve">The quality of the guidance increase matters. A raise driven by</w:t>
      </w:r>
      <w:r>
        <w:t xml:space="preserve"> </w:t>
      </w:r>
      <w:r>
        <w:rPr>
          <w:b/>
          <w:bCs/>
        </w:rPr>
        <w:t xml:space="preserve">same-store operations and per-share acquisition accretion</w:t>
      </w:r>
      <w:r>
        <w:t xml:space="preserve"> </w:t>
      </w:r>
      <w:r>
        <w:t xml:space="preserve">would be more valuable than one driven mainly by transaction timing, taxes or normalizing items.</w:t>
      </w:r>
    </w:p>
    <w:p>
      <w:r>
        <w:pict>
          <v:rect style="width:0;height:1.5pt" o:hralign="center" o:hrstd="t" o:hr="t"/>
        </w:pict>
      </w:r>
    </w:p>
    <w:bookmarkEnd w:id="18"/>
    <w:bookmarkEnd w:id="19"/>
    <w:bookmarkStart w:id="20" w:name="Xdf76249bad99a411a59a53c4e4322eaed7af75f"/>
    <w:p>
      <w:pPr>
        <w:pStyle w:val="Heading2"/>
      </w:pPr>
      <w:r>
        <w:t xml:space="preserve">3. Investors need an updated capital-deployment scorecard</w:t>
      </w:r>
    </w:p>
    <w:p>
      <w:pPr>
        <w:pStyle w:val="FirstParagraph"/>
      </w:pPr>
      <w:r>
        <w:t xml:space="preserve">At the Q1 report, Welltower had completed or committed to approximately</w:t>
      </w:r>
      <w:r>
        <w:t xml:space="preserve"> </w:t>
      </w:r>
      <w:r>
        <w:rPr>
          <w:b/>
          <w:bCs/>
        </w:rPr>
        <w:t xml:space="preserve">$10.5 billion of 2026 investment activity</w:t>
      </w:r>
      <w:r>
        <w:t xml:space="preserve">, including $3.3 billion completed in Q1 and</w:t>
      </w:r>
      <w:r>
        <w:t xml:space="preserve"> </w:t>
      </w:r>
      <m:oMath>
        <m:r>
          <m:t>7.2</m:t>
        </m:r>
        <m:r>
          <m:t>b</m:t>
        </m:r>
        <m:r>
          <m:t>i</m:t>
        </m:r>
        <m:r>
          <m:t>l</m:t>
        </m:r>
        <m:r>
          <m:t>l</m:t>
        </m:r>
        <m:r>
          <m:t>i</m:t>
        </m:r>
        <m:r>
          <m:t>o</m:t>
        </m:r>
        <m:r>
          <m:t>n</m:t>
        </m:r>
        <m:r>
          <m:t>c</m:t>
        </m:r>
        <m:r>
          <m:t>l</m:t>
        </m:r>
        <m:r>
          <m:t>o</m:t>
        </m:r>
        <m:r>
          <m:t>s</m:t>
        </m:r>
        <m:r>
          <m:t>e</m:t>
        </m:r>
        <m:r>
          <m:t>d</m:t>
        </m:r>
        <m:r>
          <m:t>o</m:t>
        </m:r>
        <m:r>
          <m:t>r</m:t>
        </m:r>
        <m:r>
          <m:t>u</m:t>
        </m:r>
        <m:r>
          <m:t>n</m:t>
        </m:r>
        <m:r>
          <m:t>d</m:t>
        </m:r>
        <m:r>
          <m:t>e</m:t>
        </m:r>
        <m:r>
          <m:t>r</m:t>
        </m:r>
        <m:r>
          <m:t>c</m:t>
        </m:r>
        <m:r>
          <m:t>o</m:t>
        </m:r>
        <m:r>
          <m:t>n</m:t>
        </m:r>
        <m:r>
          <m:t>t</m:t>
        </m:r>
        <m:r>
          <m:t>r</m:t>
        </m:r>
        <m:r>
          <m:t>a</m:t>
        </m:r>
        <m:r>
          <m:t>c</m:t>
        </m:r>
        <m:r>
          <m:t>t</m:t>
        </m:r>
        <m:r>
          <m:t>a</m:t>
        </m:r>
        <m:r>
          <m:t>f</m:t>
        </m:r>
        <m:r>
          <m:t>t</m:t>
        </m:r>
        <m:r>
          <m:t>e</m:t>
        </m:r>
        <m:r>
          <m:t>r</m:t>
        </m:r>
        <m:r>
          <m:t>q</m:t>
        </m:r>
        <m:r>
          <m:t>u</m:t>
        </m:r>
        <m:r>
          <m:t>a</m:t>
        </m:r>
        <m:r>
          <m:t>r</m:t>
        </m:r>
        <m:r>
          <m:t>t</m:t>
        </m:r>
        <m:r>
          <m:t>e</m:t>
        </m:r>
        <m:r>
          <m:t>r</m:t>
        </m:r>
        <m:r>
          <m:rPr>
            <m:sty m:val="p"/>
          </m:rPr>
          <m:t>−</m:t>
        </m:r>
        <m:r>
          <m:t>e</m:t>
        </m:r>
        <m:r>
          <m:t>n</m:t>
        </m:r>
        <m:r>
          <m:t>d</m:t>
        </m:r>
        <m:r>
          <m:rPr>
            <m:sty m:val="p"/>
          </m:rPr>
          <m:t>.</m:t>
        </m:r>
        <m:r>
          <m:t>T</m:t>
        </m:r>
        <m:r>
          <m:t>h</m:t>
        </m:r>
        <m:r>
          <m:t>e</m:t>
        </m:r>
        <m:r>
          <m:t>l</m:t>
        </m:r>
        <m:r>
          <m:t>a</m:t>
        </m:r>
        <m:r>
          <m:t>r</m:t>
        </m:r>
        <m:r>
          <m:t>g</m:t>
        </m:r>
        <m:r>
          <m:t>e</m:t>
        </m:r>
        <m:r>
          <m:t>s</m:t>
        </m:r>
        <m:r>
          <m:t>t</m:t>
        </m:r>
        <m:r>
          <m:t>i</m:t>
        </m:r>
        <m:r>
          <m:t>t</m:t>
        </m:r>
        <m:r>
          <m:t>e</m:t>
        </m:r>
        <m:r>
          <m:t>m</m:t>
        </m:r>
        <m:r>
          <m:t>w</m:t>
        </m:r>
        <m:r>
          <m:t>a</m:t>
        </m:r>
        <m:r>
          <m:t>s</m:t>
        </m:r>
        <m:r>
          <m:t>t</m:t>
        </m:r>
        <m:r>
          <m:t>h</m:t>
        </m:r>
        <m:r>
          <m:t>e</m:t>
        </m:r>
        <m:r>
          <m:t>A</m:t>
        </m:r>
        <m:r>
          <m:t>p</m:t>
        </m:r>
        <m:r>
          <m:t>r</m:t>
        </m:r>
        <m:r>
          <m:t>i</m:t>
        </m:r>
        <m:r>
          <m:t>l</m:t>
        </m:r>
        <m:r>
          <m:t>1</m:t>
        </m:r>
        <m:r>
          <m:t>a</m:t>
        </m:r>
        <m:r>
          <m:t>c</m:t>
        </m:r>
        <m:r>
          <m:t>q</m:t>
        </m:r>
        <m:r>
          <m:t>u</m:t>
        </m:r>
        <m:r>
          <m:t>i</m:t>
        </m:r>
        <m:r>
          <m:t>s</m:t>
        </m:r>
        <m:r>
          <m:t>i</m:t>
        </m:r>
        <m:r>
          <m:t>t</m:t>
        </m:r>
        <m:r>
          <m:t>i</m:t>
        </m:r>
        <m:r>
          <m:t>o</m:t>
        </m:r>
        <m:r>
          <m:t>n</m:t>
        </m:r>
        <m:r>
          <m:t>o</m:t>
        </m:r>
        <m:r>
          <m:t>f</m:t>
        </m:r>
        <m:r>
          <m:t>38</m:t>
        </m:r>
        <m:r>
          <m:t>A</m:t>
        </m:r>
        <m:r>
          <m:t>m</m:t>
        </m:r>
        <m:r>
          <m:t>i</m:t>
        </m:r>
        <m:r>
          <m:t>c</m:t>
        </m:r>
        <m:r>
          <m:t>a</m:t>
        </m:r>
        <m:r>
          <m:t>s</m:t>
        </m:r>
        <m:r>
          <m:t>e</m:t>
        </m:r>
        <m:r>
          <m:t>n</m:t>
        </m:r>
        <m:r>
          <m:t>i</m:t>
        </m:r>
        <m:r>
          <m:t>o</m:t>
        </m:r>
        <m:r>
          <m:t>r</m:t>
        </m:r>
        <m:r>
          <m:rPr>
            <m:sty m:val="p"/>
          </m:rPr>
          <m:t>−</m:t>
        </m:r>
        <m:r>
          <m:t>h</m:t>
        </m:r>
        <m:r>
          <m:t>o</m:t>
        </m:r>
        <m:r>
          <m:t>u</m:t>
        </m:r>
        <m:r>
          <m:t>s</m:t>
        </m:r>
        <m:r>
          <m:t>i</m:t>
        </m:r>
        <m:r>
          <m:t>n</m:t>
        </m:r>
        <m:r>
          <m:t>g</m:t>
        </m:r>
        <m:r>
          <m:t>c</m:t>
        </m:r>
        <m:r>
          <m:t>o</m:t>
        </m:r>
        <m:r>
          <m:t>m</m:t>
        </m:r>
        <m:r>
          <m:t>m</m:t>
        </m:r>
        <m:r>
          <m:t>u</m:t>
        </m:r>
        <m:r>
          <m:t>n</m:t>
        </m:r>
        <m:r>
          <m:t>i</m:t>
        </m:r>
        <m:r>
          <m:t>t</m:t>
        </m:r>
        <m:r>
          <m:t>i</m:t>
        </m:r>
        <m:r>
          <m:t>e</m:t>
        </m:r>
        <m:r>
          <m:t>s</m:t>
        </m:r>
        <m:r>
          <m:t>i</m:t>
        </m:r>
        <m:r>
          <m:t>n</m:t>
        </m:r>
        <m:r>
          <m:t>C</m:t>
        </m:r>
        <m:r>
          <m:t>a</m:t>
        </m:r>
        <m:r>
          <m:t>n</m:t>
        </m:r>
        <m:r>
          <m:t>a</m:t>
        </m:r>
        <m:r>
          <m:t>d</m:t>
        </m:r>
        <m:r>
          <m:t>a</m:t>
        </m:r>
        <m:r>
          <m:t>f</m:t>
        </m:r>
        <m:r>
          <m:t>o</m:t>
        </m:r>
        <m:r>
          <m:t>r</m:t>
        </m:r>
        <m:r>
          <m:t>a</m:t>
        </m:r>
        <m:r>
          <m:t>p</m:t>
        </m:r>
        <m:r>
          <m:t>r</m:t>
        </m:r>
        <m:r>
          <m:t>o</m:t>
        </m:r>
        <m:r>
          <m:rPr>
            <m:sty m:val="p"/>
          </m:rPr>
          <m:t>−</m:t>
        </m:r>
        <m:r>
          <m:t>r</m:t>
        </m:r>
        <m:r>
          <m:t>a</m:t>
        </m:r>
        <m:r>
          <m:t>t</m:t>
        </m:r>
        <m:r>
          <m:t>a</m:t>
        </m:r>
        <m:r>
          <m:t>p</m:t>
        </m:r>
        <m:r>
          <m:t>u</m:t>
        </m:r>
        <m:r>
          <m:t>r</m:t>
        </m:r>
        <m:r>
          <m:t>c</m:t>
        </m:r>
        <m:r>
          <m:t>h</m:t>
        </m:r>
        <m:r>
          <m:t>a</m:t>
        </m:r>
        <m:r>
          <m:t>s</m:t>
        </m:r>
        <m:r>
          <m:t>e</m:t>
        </m:r>
        <m:r>
          <m:t>p</m:t>
        </m:r>
        <m:r>
          <m:t>r</m:t>
        </m:r>
        <m:r>
          <m:t>i</m:t>
        </m:r>
        <m:r>
          <m:t>c</m:t>
        </m:r>
        <m:r>
          <m:t>e</m:t>
        </m:r>
        <m:r>
          <m:t>o</m:t>
        </m:r>
        <m:r>
          <m:t>f</m:t>
        </m:r>
        <m:r>
          <m:t>a</m:t>
        </m:r>
        <m:r>
          <m:t>p</m:t>
        </m:r>
        <m:r>
          <m:t>p</m:t>
        </m:r>
        <m:r>
          <m:t>r</m:t>
        </m:r>
        <m:r>
          <m:t>o</m:t>
        </m:r>
        <m:r>
          <m:t>x</m:t>
        </m:r>
        <m:r>
          <m:t>i</m:t>
        </m:r>
        <m:r>
          <m:t>m</m:t>
        </m:r>
        <m:r>
          <m:t>a</m:t>
        </m:r>
        <m:r>
          <m:t>t</m:t>
        </m:r>
        <m:r>
          <m:t>e</m:t>
        </m:r>
        <m:r>
          <m:t>l</m:t>
        </m:r>
        <m:r>
          <m:t>y</m:t>
        </m:r>
        <m:r>
          <m:rPr>
            <m:sty m:val="p"/>
          </m:rPr>
          <m:t>*</m:t>
        </m:r>
        <m:r>
          <m:rPr>
            <m:sty m:val="p"/>
          </m:rPr>
          <m:t>*</m:t>
        </m:r>
        <m:r>
          <m:t>C</m:t>
        </m:r>
      </m:oMath>
      <w:r>
        <w:t xml:space="preserve">4.1 billion**. (</w:t>
      </w:r>
      <w:hyperlink r:id="rId14">
        <w:r>
          <w:rPr>
            <w:rStyle w:val="Hyperlink"/>
          </w:rPr>
          <w:t xml:space="preserve">welltower.com</w:t>
        </w:r>
      </w:hyperlink>
      <w:r>
        <w:t xml:space="preserve">)</w:t>
      </w:r>
    </w:p>
    <w:p>
      <w:pPr>
        <w:pStyle w:val="BodyText"/>
      </w:pPr>
      <w:r>
        <w:t xml:space="preserve">The key questions are now:</w:t>
      </w:r>
    </w:p>
    <w:p>
      <w:pPr>
        <w:pStyle w:val="Compact"/>
        <w:numPr>
          <w:ilvl w:val="0"/>
          <w:numId w:val="1004"/>
        </w:numPr>
      </w:pPr>
      <w:r>
        <w:rPr>
          <w:b/>
          <w:bCs/>
        </w:rPr>
        <w:t xml:space="preserve">How much of the announced pipeline has closed?</w:t>
      </w:r>
    </w:p>
    <w:p>
      <w:pPr>
        <w:pStyle w:val="Compact"/>
        <w:numPr>
          <w:ilvl w:val="0"/>
          <w:numId w:val="1004"/>
        </w:numPr>
      </w:pPr>
      <w:r>
        <w:rPr>
          <w:b/>
          <w:bCs/>
        </w:rPr>
        <w:t xml:space="preserve">Are projected returns unchanged after financing costs?</w:t>
      </w:r>
    </w:p>
    <w:p>
      <w:pPr>
        <w:pStyle w:val="Compact"/>
        <w:numPr>
          <w:ilvl w:val="0"/>
          <w:numId w:val="1004"/>
        </w:numPr>
      </w:pPr>
      <w:r>
        <w:rPr>
          <w:b/>
          <w:bCs/>
        </w:rPr>
        <w:t xml:space="preserve">How quickly can Welltower’s operating systems improve acquired assets?</w:t>
      </w:r>
    </w:p>
    <w:p>
      <w:pPr>
        <w:pStyle w:val="Compact"/>
        <w:numPr>
          <w:ilvl w:val="0"/>
          <w:numId w:val="1004"/>
        </w:numPr>
      </w:pPr>
      <w:r>
        <w:rPr>
          <w:b/>
          <w:bCs/>
        </w:rPr>
        <w:t xml:space="preserve">How much incremental 2026 and 2027 FFO is expected from the transactions?</w:t>
      </w:r>
    </w:p>
    <w:p>
      <w:pPr>
        <w:pStyle w:val="Compact"/>
        <w:numPr>
          <w:ilvl w:val="0"/>
          <w:numId w:val="1004"/>
        </w:numPr>
      </w:pPr>
      <w:r>
        <w:rPr>
          <w:b/>
          <w:bCs/>
        </w:rPr>
        <w:t xml:space="preserve">Has the opportunity set grown further, or have high asset prices reduced expected returns?</w:t>
      </w:r>
    </w:p>
    <w:p>
      <w:pPr>
        <w:pStyle w:val="FirstParagraph"/>
      </w:pPr>
      <w:r>
        <w:t xml:space="preserve">The Amica assets and other recent acquisitions will initially increase reported revenue and NOI but generally remain outside the same-store pool until they satisfy Welltower’s seasoning requirements. Investors should therefore distinguish between:</w:t>
      </w:r>
    </w:p>
    <w:p>
      <w:pPr>
        <w:pStyle w:val="Compact"/>
        <w:numPr>
          <w:ilvl w:val="0"/>
          <w:numId w:val="1005"/>
        </w:numPr>
      </w:pPr>
      <w:r>
        <w:rPr>
          <w:b/>
          <w:bCs/>
        </w:rPr>
        <w:t xml:space="preserve">Organic same-store growth</w:t>
      </w:r>
    </w:p>
    <w:p>
      <w:pPr>
        <w:pStyle w:val="Compact"/>
        <w:numPr>
          <w:ilvl w:val="0"/>
          <w:numId w:val="1005"/>
        </w:numPr>
      </w:pPr>
      <w:r>
        <w:t xml:space="preserve">Growth from acquisitions</w:t>
      </w:r>
    </w:p>
    <w:p>
      <w:pPr>
        <w:pStyle w:val="Compact"/>
        <w:numPr>
          <w:ilvl w:val="0"/>
          <w:numId w:val="1005"/>
        </w:numPr>
      </w:pPr>
      <w:r>
        <w:t xml:space="preserve">Growth generated after applying the Welltower Business System to newly acquired assets</w:t>
      </w:r>
    </w:p>
    <w:p>
      <w:pPr>
        <w:pStyle w:val="FirstParagraph"/>
      </w:pPr>
      <w:r>
        <w:t xml:space="preserve">A large gross investment number is not inherently bullish if it requires excessive equity issuance or fails to improve FFO per share.</w:t>
      </w:r>
    </w:p>
    <w:p>
      <w:r>
        <w:pict>
          <v:rect style="width:0;height:1.5pt" o:hralign="center" o:hrstd="t" o:hr="t"/>
        </w:pict>
      </w:r>
    </w:p>
    <w:bookmarkEnd w:id="20"/>
    <w:bookmarkStart w:id="23" w:name="X7de779f209749e3a24b06f716da1479cef0736d"/>
    <w:p>
      <w:pPr>
        <w:pStyle w:val="Heading2"/>
      </w:pPr>
      <w:r>
        <w:t xml:space="preserve">4. Balance-sheet strength remains a competitive advantage</w:t>
      </w:r>
    </w:p>
    <w:p>
      <w:pPr>
        <w:pStyle w:val="FirstParagraph"/>
      </w:pPr>
      <w:r>
        <w:t xml:space="preserve">Welltower ended Q1 with:</w:t>
      </w:r>
    </w:p>
    <w:p>
      <w:pPr>
        <w:pStyle w:val="Compact"/>
        <w:numPr>
          <w:ilvl w:val="0"/>
          <w:numId w:val="1006"/>
        </w:numPr>
      </w:pPr>
      <w:r>
        <w:rPr>
          <w:b/>
          <w:bCs/>
        </w:rPr>
        <w:t xml:space="preserve">2.73x</w:t>
      </w:r>
      <w:r>
        <w:t xml:space="preserve"> </w:t>
      </w:r>
      <w:r>
        <w:t xml:space="preserve">net debt to adjusted EBITDA</w:t>
      </w:r>
    </w:p>
    <w:p>
      <w:pPr>
        <w:pStyle w:val="Compact"/>
        <w:numPr>
          <w:ilvl w:val="0"/>
          <w:numId w:val="1006"/>
        </w:numPr>
      </w:pPr>
      <w:r>
        <w:t xml:space="preserve">Approximately</w:t>
      </w:r>
      <w:r>
        <w:t xml:space="preserve"> </w:t>
      </w:r>
      <w:r>
        <w:rPr>
          <w:b/>
          <w:bCs/>
        </w:rPr>
        <w:t xml:space="preserve">$11.1 billion</w:t>
      </w:r>
      <w:r>
        <w:t xml:space="preserve"> </w:t>
      </w:r>
      <w:r>
        <w:t xml:space="preserve">of liquidity</w:t>
      </w:r>
    </w:p>
    <w:p>
      <w:pPr>
        <w:pStyle w:val="Compact"/>
        <w:numPr>
          <w:ilvl w:val="0"/>
          <w:numId w:val="1006"/>
        </w:numPr>
      </w:pPr>
      <w:r>
        <w:t xml:space="preserve">$4.8 billion of cash and restricted cash</w:t>
      </w:r>
    </w:p>
    <w:p>
      <w:pPr>
        <w:pStyle w:val="Compact"/>
        <w:numPr>
          <w:ilvl w:val="0"/>
          <w:numId w:val="1006"/>
        </w:numPr>
      </w:pPr>
      <w:r>
        <w:t xml:space="preserve">Full availability on a $6.25 billion revolving credit facility</w:t>
      </w:r>
    </w:p>
    <w:p>
      <w:pPr>
        <w:pStyle w:val="Compact"/>
        <w:numPr>
          <w:ilvl w:val="0"/>
          <w:numId w:val="1006"/>
        </w:numPr>
      </w:pPr>
      <w:r>
        <w:t xml:space="preserve">A3 credit rating with a positive Moody’s outlook</w:t>
      </w:r>
    </w:p>
    <w:p>
      <w:pPr>
        <w:pStyle w:val="FirstParagraph"/>
      </w:pPr>
      <w:r>
        <w:t xml:space="preserve">It also repaid $700 million of notes in April using free cash flow. (</w:t>
      </w:r>
      <w:hyperlink r:id="rId14">
        <w:r>
          <w:rPr>
            <w:rStyle w:val="Hyperlink"/>
          </w:rPr>
          <w:t xml:space="preserve">welltower.com</w:t>
        </w:r>
      </w:hyperlink>
      <w:r>
        <w:t xml:space="preserve">)</w:t>
      </w:r>
    </w:p>
    <w:p>
      <w:pPr>
        <w:pStyle w:val="BodyText"/>
      </w:pPr>
      <w:r>
        <w:t xml:space="preserve">In July, Welltower issued **C</w:t>
      </w:r>
      <m:oMath>
        <m:r>
          <m:t>1.15</m:t>
        </m:r>
        <m:r>
          <m:t>b</m:t>
        </m:r>
        <m:r>
          <m:t>i</m:t>
        </m:r>
        <m:r>
          <m:t>l</m:t>
        </m:r>
        <m:r>
          <m:t>l</m:t>
        </m:r>
        <m:r>
          <m:t>i</m:t>
        </m:r>
        <m:r>
          <m:t>o</m:t>
        </m:r>
        <m:r>
          <m:t>n</m:t>
        </m:r>
        <m:r>
          <m:rPr>
            <m:sty m:val="p"/>
          </m:rPr>
          <m:t>*</m:t>
        </m:r>
        <m:r>
          <m:rPr>
            <m:sty m:val="p"/>
          </m:rPr>
          <m:t>*</m:t>
        </m:r>
        <m:r>
          <m:t>o</m:t>
        </m:r>
        <m:r>
          <m:t>f</m:t>
        </m:r>
        <m:r>
          <m:t>C</m:t>
        </m:r>
        <m:r>
          <m:t>a</m:t>
        </m:r>
        <m:r>
          <m:t>n</m:t>
        </m:r>
        <m:r>
          <m:t>a</m:t>
        </m:r>
        <m:r>
          <m:t>d</m:t>
        </m:r>
        <m:r>
          <m:t>i</m:t>
        </m:r>
        <m:r>
          <m:t>a</m:t>
        </m:r>
        <m:r>
          <m:t>n</m:t>
        </m:r>
        <m:r>
          <m:rPr>
            <m:sty m:val="p"/>
          </m:rPr>
          <m:t>−</m:t>
        </m:r>
        <m:r>
          <m:t>d</m:t>
        </m:r>
        <m:r>
          <m:t>o</m:t>
        </m:r>
        <m:r>
          <m:t>l</m:t>
        </m:r>
        <m:r>
          <m:t>l</m:t>
        </m:r>
        <m:r>
          <m:t>a</m:t>
        </m:r>
        <m:r>
          <m:t>r</m:t>
        </m:r>
        <m:r>
          <m:t>u</m:t>
        </m:r>
        <m:r>
          <m:t>n</m:t>
        </m:r>
        <m:r>
          <m:t>s</m:t>
        </m:r>
        <m:r>
          <m:t>e</m:t>
        </m:r>
        <m:r>
          <m:t>c</m:t>
        </m:r>
        <m:r>
          <m:t>u</m:t>
        </m:r>
        <m:r>
          <m:t>r</m:t>
        </m:r>
        <m:r>
          <m:t>e</m:t>
        </m:r>
        <m:r>
          <m:t>d</m:t>
        </m:r>
        <m:r>
          <m:t>d</m:t>
        </m:r>
        <m:r>
          <m:t>e</m:t>
        </m:r>
        <m:r>
          <m:t>b</m:t>
        </m:r>
        <m:r>
          <m:t>t</m:t>
        </m:r>
        <m:r>
          <m:rPr>
            <m:sty m:val="p"/>
          </m:rPr>
          <m:t>:</m:t>
        </m:r>
        <m:r>
          <m:t>C</m:t>
        </m:r>
      </m:oMath>
      <w:r>
        <w:t xml:space="preserve">750 million of 3.85% notes due 2031 and C$400 million of 4.15% notes due 2033. The financing provides attractive local-currency funding for Canadian investments and further demonstrates the company’s access to capital. (</w:t>
      </w:r>
      <w:hyperlink r:id="rId21">
        <w:r>
          <w:rPr>
            <w:rStyle w:val="Hyperlink"/>
          </w:rPr>
          <w:t xml:space="preserve">sec.gov</w:t>
        </w:r>
      </w:hyperlink>
      <w:r>
        <w:t xml:space="preserve">)</w:t>
      </w:r>
    </w:p>
    <w:bookmarkStart w:id="22" w:name="what-to-monitor"/>
    <w:p>
      <w:pPr>
        <w:pStyle w:val="Heading3"/>
      </w:pPr>
      <w:r>
        <w:t xml:space="preserve">What to monitor</w:t>
      </w:r>
    </w:p>
    <w:p>
      <w:pPr>
        <w:pStyle w:val="Compact"/>
        <w:numPr>
          <w:ilvl w:val="0"/>
          <w:numId w:val="1007"/>
        </w:numPr>
      </w:pPr>
      <w:r>
        <w:t xml:space="preserve">Net debt to EBITDA after the Q2 acquisition closings</w:t>
      </w:r>
    </w:p>
    <w:p>
      <w:pPr>
        <w:pStyle w:val="Compact"/>
        <w:numPr>
          <w:ilvl w:val="0"/>
          <w:numId w:val="1007"/>
        </w:numPr>
      </w:pPr>
      <w:r>
        <w:t xml:space="preserve">Interest expense and the effect of higher average debt balances</w:t>
      </w:r>
    </w:p>
    <w:p>
      <w:pPr>
        <w:pStyle w:val="Compact"/>
        <w:numPr>
          <w:ilvl w:val="0"/>
          <w:numId w:val="1007"/>
        </w:numPr>
      </w:pPr>
      <w:r>
        <w:t xml:space="preserve">Equity issuance and growth in diluted shares</w:t>
      </w:r>
    </w:p>
    <w:p>
      <w:pPr>
        <w:pStyle w:val="Compact"/>
        <w:numPr>
          <w:ilvl w:val="0"/>
          <w:numId w:val="1007"/>
        </w:numPr>
      </w:pPr>
      <w:r>
        <w:t xml:space="preserve">Proceeds from remaining outpatient-medical dispositions</w:t>
      </w:r>
    </w:p>
    <w:p>
      <w:pPr>
        <w:pStyle w:val="Compact"/>
        <w:numPr>
          <w:ilvl w:val="0"/>
          <w:numId w:val="1007"/>
        </w:numPr>
      </w:pPr>
      <w:r>
        <w:t xml:space="preserve">Expected year-end leverage, previously described as approximately 3x</w:t>
      </w:r>
    </w:p>
    <w:p>
      <w:pPr>
        <w:pStyle w:val="Compact"/>
        <w:numPr>
          <w:ilvl w:val="0"/>
          <w:numId w:val="1007"/>
        </w:numPr>
      </w:pPr>
      <w:r>
        <w:t xml:space="preserve">Whether recent debt and asset sales fully fund the committed pipeline</w:t>
      </w:r>
    </w:p>
    <w:p>
      <w:pPr>
        <w:pStyle w:val="FirstParagraph"/>
      </w:pPr>
      <w:r>
        <w:t xml:space="preserve">A stable leverage outlook despite billions of dollars of acquisitions would be a meaningful positive.</w:t>
      </w:r>
    </w:p>
    <w:p>
      <w:r>
        <w:pict>
          <v:rect style="width:0;height:1.5pt" o:hralign="center" o:hrstd="t" o:hr="t"/>
        </w:pict>
      </w:r>
    </w:p>
    <w:bookmarkEnd w:id="22"/>
    <w:bookmarkEnd w:id="23"/>
    <w:bookmarkStart w:id="25" w:name="X3c0a20998790a15d75f4bfa6c64bfa1ac2761d5"/>
    <w:p>
      <w:pPr>
        <w:pStyle w:val="Heading2"/>
      </w:pPr>
      <w:r>
        <w:t xml:space="preserve">5. The dividend increase is a confidence signal—not the core valuation support</w:t>
      </w:r>
    </w:p>
    <w:p>
      <w:pPr>
        <w:pStyle w:val="FirstParagraph"/>
      </w:pPr>
      <w:r>
        <w:t xml:space="preserve">In June, Welltower announced a</w:t>
      </w:r>
      <w:r>
        <w:t xml:space="preserve"> </w:t>
      </w:r>
      <w:r>
        <w:rPr>
          <w:b/>
          <w:bCs/>
        </w:rPr>
        <w:t xml:space="preserve">15% increase</w:t>
      </w:r>
      <w:r>
        <w:t xml:space="preserve"> </w:t>
      </w:r>
      <w:r>
        <w:t xml:space="preserve">in the quarterly dividend to</w:t>
      </w:r>
      <w:r>
        <w:t xml:space="preserve"> </w:t>
      </w:r>
      <w:r>
        <w:rPr>
          <w:b/>
          <w:bCs/>
        </w:rPr>
        <w:t xml:space="preserve">$0.85 per share</w:t>
      </w:r>
      <w:r>
        <w:t xml:space="preserve">, beginning with Q2. Management cited its low payout ratio, balance-sheet strength and confidence in future cash-flow growth. (</w:t>
      </w:r>
      <w:hyperlink r:id="rId24">
        <w:r>
          <w:rPr>
            <w:rStyle w:val="Hyperlink"/>
          </w:rPr>
          <w:t xml:space="preserve">welltower.com</w:t>
        </w:r>
      </w:hyperlink>
      <w:r>
        <w:t xml:space="preserve">)</w:t>
      </w:r>
    </w:p>
    <w:p>
      <w:pPr>
        <w:pStyle w:val="BodyText"/>
      </w:pPr>
      <w:r>
        <w:t xml:space="preserve">The annualized dividend is now $3.40 per share, but at the recent stock price the yield is only about</w:t>
      </w:r>
      <w:r>
        <w:t xml:space="preserve"> </w:t>
      </w:r>
      <w:r>
        <w:rPr>
          <w:b/>
          <w:bCs/>
        </w:rPr>
        <w:t xml:space="preserve">1.35%</w:t>
      </w:r>
      <w:r>
        <w:t xml:space="preserve">. Investors are therefore not buying WELL primarily for current income. The valuation depends on sustained double-digit FFO growth and continued multiple support.</w:t>
      </w:r>
    </w:p>
    <w:p>
      <w:pPr>
        <w:pStyle w:val="BodyText"/>
      </w:pPr>
      <w:r>
        <w:t xml:space="preserve">Watch for the Q2 normalized FFO payout ratio and management’s commentary on future dividend growth.</w:t>
      </w:r>
    </w:p>
    <w:p>
      <w:r>
        <w:pict>
          <v:rect style="width:0;height:1.5pt" o:hralign="center" o:hrstd="t" o:hr="t"/>
        </w:pict>
      </w:r>
    </w:p>
    <w:bookmarkEnd w:id="25"/>
    <w:bookmarkStart w:id="26" w:name="X200f03750f48cca10f216763c27bdbd67849519"/>
    <w:p>
      <w:pPr>
        <w:pStyle w:val="Heading2"/>
      </w:pPr>
      <w:r>
        <w:t xml:space="preserve">6. Capital-light initiatives are optionality, not yet a core earnings driver</w:t>
      </w:r>
    </w:p>
    <w:p>
      <w:pPr>
        <w:pStyle w:val="FirstParagraph"/>
      </w:pPr>
      <w:r>
        <w:t xml:space="preserve">Welltower has begun building fee-generating businesses around:</w:t>
      </w:r>
    </w:p>
    <w:p>
      <w:pPr>
        <w:pStyle w:val="Compact"/>
        <w:numPr>
          <w:ilvl w:val="0"/>
          <w:numId w:val="1008"/>
        </w:numPr>
      </w:pPr>
      <w:r>
        <w:t xml:space="preserve">Private funds management</w:t>
      </w:r>
    </w:p>
    <w:p>
      <w:pPr>
        <w:pStyle w:val="Compact"/>
        <w:numPr>
          <w:ilvl w:val="0"/>
          <w:numId w:val="1008"/>
        </w:numPr>
      </w:pPr>
      <w:r>
        <w:t xml:space="preserve">Licensing its data-science platform</w:t>
      </w:r>
    </w:p>
    <w:p>
      <w:pPr>
        <w:pStyle w:val="Compact"/>
        <w:numPr>
          <w:ilvl w:val="0"/>
          <w:numId w:val="1008"/>
        </w:numPr>
      </w:pPr>
      <w:r>
        <w:t xml:space="preserve">Partnerships with Public Storage and other institutional investors</w:t>
      </w:r>
    </w:p>
    <w:p>
      <w:pPr>
        <w:pStyle w:val="FirstParagraph"/>
      </w:pPr>
      <w:r>
        <w:t xml:space="preserve">Management has said interest in the data-science platform has been strong, but it has not yet provided a meaningful medium-term earnings target. Q2 commentary could help investors assess whether this is becoming a real source of recurring revenue or remains strategic optionality.</w:t>
      </w:r>
    </w:p>
    <w:p>
      <w:pPr>
        <w:pStyle w:val="BodyText"/>
      </w:pPr>
      <w:r>
        <w:t xml:space="preserve">The most useful disclosures would be:</w:t>
      </w:r>
    </w:p>
    <w:p>
      <w:pPr>
        <w:pStyle w:val="Compact"/>
        <w:numPr>
          <w:ilvl w:val="0"/>
          <w:numId w:val="1009"/>
        </w:numPr>
      </w:pPr>
      <w:r>
        <w:t xml:space="preserve">Contract structure and duration</w:t>
      </w:r>
    </w:p>
    <w:p>
      <w:pPr>
        <w:pStyle w:val="Compact"/>
        <w:numPr>
          <w:ilvl w:val="0"/>
          <w:numId w:val="1009"/>
        </w:numPr>
      </w:pPr>
      <w:r>
        <w:t xml:space="preserve">Recurrence of licensing revenue</w:t>
      </w:r>
    </w:p>
    <w:p>
      <w:pPr>
        <w:pStyle w:val="Compact"/>
        <w:numPr>
          <w:ilvl w:val="0"/>
          <w:numId w:val="1009"/>
        </w:numPr>
      </w:pPr>
      <w:r>
        <w:t xml:space="preserve">Margins and incremental staffing requirements</w:t>
      </w:r>
    </w:p>
    <w:p>
      <w:pPr>
        <w:pStyle w:val="Compact"/>
        <w:numPr>
          <w:ilvl w:val="0"/>
          <w:numId w:val="1009"/>
        </w:numPr>
      </w:pPr>
      <w:r>
        <w:t xml:space="preserve">Contributions to 2026 or 2027 earnings</w:t>
      </w:r>
    </w:p>
    <w:p>
      <w:pPr>
        <w:pStyle w:val="Compact"/>
        <w:numPr>
          <w:ilvl w:val="0"/>
          <w:numId w:val="1009"/>
        </w:numPr>
      </w:pPr>
      <w:r>
        <w:t xml:space="preserve">Additional external customers signed during Q2</w:t>
      </w:r>
    </w:p>
    <w:p>
      <w:pPr>
        <w:pStyle w:val="FirstParagraph"/>
      </w:pPr>
      <w:r>
        <w:t xml:space="preserve">Investors should avoid assigning a large valuation to this business until revenue and economics become measurable.</w:t>
      </w:r>
    </w:p>
    <w:p>
      <w:r>
        <w:pict>
          <v:rect style="width:0;height:1.5pt" o:hralign="center" o:hrstd="t" o:hr="t"/>
        </w:pict>
      </w:r>
    </w:p>
    <w:bookmarkEnd w:id="26"/>
    <w:bookmarkStart w:id="33" w:name="risks-going-into-the-print"/>
    <w:p>
      <w:pPr>
        <w:pStyle w:val="Heading2"/>
      </w:pPr>
      <w:r>
        <w:t xml:space="preserve">Risks going into the print</w:t>
      </w:r>
    </w:p>
    <w:bookmarkStart w:id="27" w:name="valuation-risk"/>
    <w:p>
      <w:pPr>
        <w:pStyle w:val="Heading3"/>
      </w:pPr>
      <w:r>
        <w:t xml:space="preserve">Valuation risk</w:t>
      </w:r>
    </w:p>
    <w:p>
      <w:pPr>
        <w:pStyle w:val="FirstParagraph"/>
      </w:pPr>
      <w:r>
        <w:t xml:space="preserve">At roughly 40x the midpoint of 2026 normalized FFO guidance, expectations are extremely high. A conventional beat-and-maintain quarter could still produce a negative share-price reaction.</w:t>
      </w:r>
    </w:p>
    <w:bookmarkEnd w:id="27"/>
    <w:bookmarkStart w:id="28" w:name="expense-normalization"/>
    <w:p>
      <w:pPr>
        <w:pStyle w:val="Heading3"/>
      </w:pPr>
      <w:r>
        <w:t xml:space="preserve">Expense normalization</w:t>
      </w:r>
    </w:p>
    <w:p>
      <w:pPr>
        <w:pStyle w:val="FirstParagraph"/>
      </w:pPr>
      <w:r>
        <w:t xml:space="preserve">Q1’s 0.4% ExpPOR growth may prove difficult to repeat. Higher wages, insurance, utilities or food costs could narrow the gap between RevPOR and ExpPOR.</w:t>
      </w:r>
    </w:p>
    <w:bookmarkEnd w:id="28"/>
    <w:bookmarkStart w:id="29" w:name="acquisition-and-integration-risk"/>
    <w:p>
      <w:pPr>
        <w:pStyle w:val="Heading3"/>
      </w:pPr>
      <w:r>
        <w:t xml:space="preserve">Acquisition and integration risk</w:t>
      </w:r>
    </w:p>
    <w:p>
      <w:pPr>
        <w:pStyle w:val="FirstParagraph"/>
      </w:pPr>
      <w:r>
        <w:t xml:space="preserve">Welltower’s portfolio expanded rapidly. Execution across thousands of properties, numerous operators and multiple countries is now as important as transaction sourcing.</w:t>
      </w:r>
    </w:p>
    <w:bookmarkEnd w:id="29"/>
    <w:bookmarkStart w:id="30" w:name="per-share-dilution"/>
    <w:p>
      <w:pPr>
        <w:pStyle w:val="Heading3"/>
      </w:pPr>
      <w:r>
        <w:t xml:space="preserve">Per-share dilution</w:t>
      </w:r>
    </w:p>
    <w:p>
      <w:pPr>
        <w:pStyle w:val="FirstParagraph"/>
      </w:pPr>
      <w:r>
        <w:t xml:space="preserve">Welltower has generally funded investments conservatively, but equity issuance can limit FFO-per-share accretion even when absolute NOI and EBITDA rise sharply.</w:t>
      </w:r>
    </w:p>
    <w:bookmarkEnd w:id="30"/>
    <w:bookmarkStart w:id="31" w:name="capital-allocation-risk"/>
    <w:p>
      <w:pPr>
        <w:pStyle w:val="Heading3"/>
      </w:pPr>
      <w:r>
        <w:t xml:space="preserve">Capital-allocation risk</w:t>
      </w:r>
    </w:p>
    <w:p>
      <w:pPr>
        <w:pStyle w:val="FirstParagraph"/>
      </w:pPr>
      <w:r>
        <w:t xml:space="preserve">The company’s premium valuation provides a powerful cost-of-capital advantage, but it also increases the temptation to prioritize transaction volume. Investors should focus on expected unlevered returns and per-share value creation.</w:t>
      </w:r>
    </w:p>
    <w:bookmarkEnd w:id="31"/>
    <w:bookmarkStart w:id="32" w:name="currency-and-interest-expense"/>
    <w:p>
      <w:pPr>
        <w:pStyle w:val="Heading3"/>
      </w:pPr>
      <w:r>
        <w:t xml:space="preserve">Currency and interest expense</w:t>
      </w:r>
    </w:p>
    <w:p>
      <w:pPr>
        <w:pStyle w:val="FirstParagraph"/>
      </w:pPr>
      <w:r>
        <w:t xml:space="preserve">The Canadian and U.K. portfolios create foreign-exchange exposure, while higher debt balances may cause interest expense to grow faster than expected.</w:t>
      </w:r>
    </w:p>
    <w:p>
      <w:r>
        <w:pict>
          <v:rect style="width:0;height:1.5pt" o:hralign="center" o:hrstd="t" o:hr="t"/>
        </w:pict>
      </w:r>
    </w:p>
    <w:bookmarkEnd w:id="32"/>
    <w:bookmarkEnd w:id="33"/>
    <w:bookmarkStart w:id="34" w:name="earnings-day-scorecard"/>
    <w:p>
      <w:pPr>
        <w:pStyle w:val="Heading2"/>
      </w:pPr>
      <w:r>
        <w:t xml:space="preserve">Earnings-day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Bullish interpretation</w:t>
            </w:r>
          </w:p>
        </w:tc>
        <w:tc>
          <w:tcPr/>
          <w:p>
            <w:pPr>
              <w:pStyle w:val="Compact"/>
            </w:pPr>
            <w:r>
              <w:t xml:space="preserve">Potential concern</w:t>
            </w:r>
          </w:p>
        </w:tc>
      </w:tr>
      <w:tr>
        <w:tc>
          <w:tcPr/>
          <w:p>
            <w:pPr>
              <w:pStyle w:val="Compact"/>
            </w:pPr>
            <w:r>
              <w:t xml:space="preserve">Normalized FFO/share</w:t>
            </w:r>
          </w:p>
        </w:tc>
        <w:tc>
          <w:tcPr/>
          <w:p>
            <w:pPr>
              <w:pStyle w:val="Compact"/>
            </w:pPr>
            <w:r>
              <w:t xml:space="preserve">Above</w:t>
            </w:r>
            <w:r>
              <w:t xml:space="preserve"> </w:t>
            </w:r>
            <w:r>
              <w:rPr>
                <w:b/>
                <w:bCs/>
              </w:rPr>
              <w:t xml:space="preserve">$1.55</w:t>
            </w:r>
          </w:p>
        </w:tc>
        <w:tc>
          <w:tcPr/>
          <w:p>
            <w:pPr>
              <w:pStyle w:val="Compact"/>
            </w:pPr>
            <w:r>
              <w:t xml:space="preserve">Below $1.55</w:t>
            </w:r>
          </w:p>
        </w:tc>
      </w:tr>
      <w:tr>
        <w:tc>
          <w:tcPr/>
          <w:p>
            <w:pPr>
              <w:pStyle w:val="Compact"/>
            </w:pPr>
            <w:r>
              <w:t xml:space="preserve">Revenue</w:t>
            </w:r>
          </w:p>
        </w:tc>
        <w:tc>
          <w:tcPr/>
          <w:p>
            <w:pPr>
              <w:pStyle w:val="Compact"/>
            </w:pPr>
            <w:r>
              <w:t xml:space="preserve">Above roughly</w:t>
            </w:r>
            <w:r>
              <w:t xml:space="preserve"> </w:t>
            </w:r>
            <w:r>
              <w:rPr>
                <w:b/>
                <w:bCs/>
              </w:rPr>
              <w:t xml:space="preserve">$3.43B</w:t>
            </w:r>
          </w:p>
        </w:tc>
        <w:tc>
          <w:tcPr/>
          <w:p>
            <w:pPr>
              <w:pStyle w:val="Compact"/>
            </w:pPr>
            <w:r>
              <w:t xml:space="preserve">Growth materially below expectations</w:t>
            </w:r>
          </w:p>
        </w:tc>
      </w:tr>
      <w:tr>
        <w:tc>
          <w:tcPr/>
          <w:p>
            <w:pPr>
              <w:pStyle w:val="Compact"/>
            </w:pPr>
            <w:r>
              <w:t xml:space="preserve">SHO same-store NOI</w:t>
            </w:r>
          </w:p>
        </w:tc>
        <w:tc>
          <w:tcPr/>
          <w:p>
            <w:pPr>
              <w:pStyle w:val="Compact"/>
            </w:pPr>
            <w:r>
              <w:rPr>
                <w:b/>
                <w:bCs/>
              </w:rPr>
              <w:t xml:space="preserve">20%+</w:t>
            </w:r>
          </w:p>
        </w:tc>
        <w:tc>
          <w:tcPr/>
          <w:p>
            <w:pPr>
              <w:pStyle w:val="Compact"/>
            </w:pPr>
            <w:r>
              <w:t xml:space="preserve">Below revised full-year trajectory</w:t>
            </w:r>
          </w:p>
        </w:tc>
      </w:tr>
      <w:tr>
        <w:tc>
          <w:tcPr/>
          <w:p>
            <w:pPr>
              <w:pStyle w:val="Compact"/>
            </w:pPr>
            <w:r>
              <w:t xml:space="preserve">Occupancy growth</w:t>
            </w:r>
          </w:p>
        </w:tc>
        <w:tc>
          <w:tcPr/>
          <w:p>
            <w:pPr>
              <w:pStyle w:val="Compact"/>
            </w:pPr>
            <w:r>
              <w:t xml:space="preserve">Around or above</w:t>
            </w:r>
            <w:r>
              <w:t xml:space="preserve"> </w:t>
            </w:r>
            <w:r>
              <w:rPr>
                <w:b/>
                <w:bCs/>
              </w:rPr>
              <w:t xml:space="preserve">350 bps</w:t>
            </w:r>
          </w:p>
        </w:tc>
        <w:tc>
          <w:tcPr/>
          <w:p>
            <w:pPr>
              <w:pStyle w:val="Compact"/>
            </w:pPr>
            <w:r>
              <w:t xml:space="preserve">Material deceleration</w:t>
            </w:r>
          </w:p>
        </w:tc>
      </w:tr>
      <w:tr>
        <w:tc>
          <w:tcPr/>
          <w:p>
            <w:pPr>
              <w:pStyle w:val="Compact"/>
            </w:pPr>
            <w:r>
              <w:t xml:space="preserve">RevPOR</w:t>
            </w:r>
          </w:p>
        </w:tc>
        <w:tc>
          <w:tcPr/>
          <w:p>
            <w:pPr>
              <w:pStyle w:val="Compact"/>
            </w:pPr>
            <w:r>
              <w:t xml:space="preserve">Approximately</w:t>
            </w:r>
            <w:r>
              <w:t xml:space="preserve"> </w:t>
            </w:r>
            <w:r>
              <w:rPr>
                <w:b/>
                <w:bCs/>
              </w:rPr>
              <w:t xml:space="preserve">5% or better</w:t>
            </w:r>
          </w:p>
        </w:tc>
        <w:tc>
          <w:tcPr/>
          <w:p>
            <w:pPr>
              <w:pStyle w:val="Compact"/>
            </w:pPr>
            <w:r>
              <w:t xml:space="preserve">Weakening pricing</w:t>
            </w:r>
          </w:p>
        </w:tc>
      </w:tr>
      <w:tr>
        <w:tc>
          <w:tcPr/>
          <w:p>
            <w:pPr>
              <w:pStyle w:val="Compact"/>
            </w:pPr>
            <w:r>
              <w:t xml:space="preserve">ExpPOR</w:t>
            </w:r>
          </w:p>
        </w:tc>
        <w:tc>
          <w:tcPr/>
          <w:p>
            <w:pPr>
              <w:pStyle w:val="Compact"/>
            </w:pPr>
            <w:r>
              <w:t xml:space="preserve">Below roughly</w:t>
            </w:r>
            <w:r>
              <w:t xml:space="preserve"> </w:t>
            </w:r>
            <w:r>
              <w:rPr>
                <w:b/>
                <w:bCs/>
              </w:rPr>
              <w:t xml:space="preserve">1.5%</w:t>
            </w:r>
          </w:p>
        </w:tc>
        <w:tc>
          <w:tcPr/>
          <w:p>
            <w:pPr>
              <w:pStyle w:val="Compact"/>
            </w:pPr>
            <w:r>
              <w:t xml:space="preserve">Labor or operating-cost reacceleration</w:t>
            </w:r>
          </w:p>
        </w:tc>
      </w:tr>
      <w:tr>
        <w:tc>
          <w:tcPr/>
          <w:p>
            <w:pPr>
              <w:pStyle w:val="Compact"/>
            </w:pPr>
            <w:r>
              <w:t xml:space="preserve">SHO margin</w:t>
            </w:r>
          </w:p>
        </w:tc>
        <w:tc>
          <w:tcPr/>
          <w:p>
            <w:pPr>
              <w:pStyle w:val="Compact"/>
            </w:pPr>
            <w:r>
              <w:t xml:space="preserve">Continued major expansion</w:t>
            </w:r>
          </w:p>
        </w:tc>
        <w:tc>
          <w:tcPr/>
          <w:p>
            <w:pPr>
              <w:pStyle w:val="Compact"/>
            </w:pPr>
            <w:r>
              <w:t xml:space="preserve">Flow-through declines</w:t>
            </w:r>
          </w:p>
        </w:tc>
      </w:tr>
      <w:tr>
        <w:tc>
          <w:tcPr/>
          <w:p>
            <w:pPr>
              <w:pStyle w:val="Compact"/>
            </w:pPr>
            <w:r>
              <w:t xml:space="preserve">2026 FFO guidance</w:t>
            </w:r>
          </w:p>
        </w:tc>
        <w:tc>
          <w:tcPr/>
          <w:p>
            <w:pPr>
              <w:pStyle w:val="Compact"/>
            </w:pPr>
            <w:r>
              <w:t xml:space="preserve">Midpoint raised above</w:t>
            </w:r>
            <w:r>
              <w:t xml:space="preserve"> </w:t>
            </w:r>
            <w:r>
              <w:rPr>
                <w:b/>
                <w:bCs/>
              </w:rPr>
              <w:t xml:space="preserve">$6.28</w:t>
            </w:r>
          </w:p>
        </w:tc>
        <w:tc>
          <w:tcPr/>
          <w:p>
            <w:pPr>
              <w:pStyle w:val="Compact"/>
            </w:pPr>
            <w:r>
              <w:t xml:space="preserve">Maintain or cut</w:t>
            </w:r>
          </w:p>
        </w:tc>
      </w:tr>
      <w:tr>
        <w:tc>
          <w:tcPr/>
          <w:p>
            <w:pPr>
              <w:pStyle w:val="Compact"/>
            </w:pPr>
            <w:r>
              <w:t xml:space="preserve">Leverage</w:t>
            </w:r>
          </w:p>
        </w:tc>
        <w:tc>
          <w:tcPr/>
          <w:p>
            <w:pPr>
              <w:pStyle w:val="Compact"/>
            </w:pPr>
            <w:r>
              <w:t xml:space="preserve">Near 3x despite acquisitions</w:t>
            </w:r>
          </w:p>
        </w:tc>
        <w:tc>
          <w:tcPr/>
          <w:p>
            <w:pPr>
              <w:pStyle w:val="Compact"/>
            </w:pPr>
            <w:r>
              <w:t xml:space="preserve">Unexpected increase</w:t>
            </w:r>
          </w:p>
        </w:tc>
      </w:tr>
      <w:tr>
        <w:tc>
          <w:tcPr/>
          <w:p>
            <w:pPr>
              <w:pStyle w:val="Compact"/>
            </w:pPr>
            <w:r>
              <w:t xml:space="preserve">Investment pipeline</w:t>
            </w:r>
          </w:p>
        </w:tc>
        <w:tc>
          <w:tcPr/>
          <w:p>
            <w:pPr>
              <w:pStyle w:val="Compact"/>
            </w:pPr>
            <w:r>
              <w:t xml:space="preserve">Closings on plan; returns intact</w:t>
            </w:r>
          </w:p>
        </w:tc>
        <w:tc>
          <w:tcPr/>
          <w:p>
            <w:pPr>
              <w:pStyle w:val="Compact"/>
            </w:pPr>
            <w:r>
              <w:t xml:space="preserve">Delays, repricing or dilution</w:t>
            </w:r>
          </w:p>
        </w:tc>
      </w:tr>
      <w:tr>
        <w:tc>
          <w:tcPr/>
          <w:p>
            <w:pPr>
              <w:pStyle w:val="Compact"/>
            </w:pPr>
            <w:r>
              <w:t xml:space="preserve">Capital-light businesses</w:t>
            </w:r>
          </w:p>
        </w:tc>
        <w:tc>
          <w:tcPr/>
          <w:p>
            <w:pPr>
              <w:pStyle w:val="Compact"/>
            </w:pPr>
            <w:r>
              <w:t xml:space="preserve">New customers or quantifiable revenue</w:t>
            </w:r>
          </w:p>
        </w:tc>
        <w:tc>
          <w:tcPr/>
          <w:p>
            <w:pPr>
              <w:pStyle w:val="Compact"/>
            </w:pPr>
            <w:r>
              <w:t xml:space="preserve">Continued narrative without numbers</w:t>
            </w:r>
          </w:p>
        </w:tc>
      </w:tr>
    </w:tbl>
    <w:bookmarkEnd w:id="34"/>
    <w:bookmarkStart w:id="35" w:name="bottom-line"/>
    <w:p>
      <w:pPr>
        <w:pStyle w:val="Heading2"/>
      </w:pPr>
      <w:r>
        <w:t xml:space="preserve">Bottom line</w:t>
      </w:r>
    </w:p>
    <w:p>
      <w:pPr>
        <w:pStyle w:val="FirstParagraph"/>
      </w:pPr>
      <w:r>
        <w:t xml:space="preserve">The operating setup remains favorable. Senior-housing demand is strong, supply is constrained, Welltower still has substantial occupancy and margin-recovery potential, and its balance sheet gives it an unusual ability to acquire assets during volatile capital markets.</w:t>
      </w:r>
    </w:p>
    <w:p>
      <w:pPr>
        <w:pStyle w:val="BodyText"/>
      </w:pPr>
      <w:r>
        <w:t xml:space="preserve">The complication is price. At approximately 40x current-year normalized FFO guidance, investors are already paying for years of exceptional execution. The most important outcome is therefore not whether Welltower beats Q2 FFO by a few cents. It is whether management can demonstrate that:</w:t>
      </w:r>
    </w:p>
    <w:p>
      <w:pPr>
        <w:pStyle w:val="Compact"/>
        <w:numPr>
          <w:ilvl w:val="0"/>
          <w:numId w:val="1010"/>
        </w:numPr>
      </w:pPr>
      <w:r>
        <w:rPr>
          <w:b/>
          <w:bCs/>
        </w:rPr>
        <w:t xml:space="preserve">SHO NOI growth can remain near 20%;</w:t>
      </w:r>
    </w:p>
    <w:p>
      <w:pPr>
        <w:pStyle w:val="Compact"/>
        <w:numPr>
          <w:ilvl w:val="0"/>
          <w:numId w:val="1010"/>
        </w:numPr>
      </w:pPr>
      <w:r>
        <w:rPr>
          <w:b/>
          <w:bCs/>
        </w:rPr>
        <w:t xml:space="preserve">Expense growth remains controlled without sacrificing operations;</w:t>
      </w:r>
    </w:p>
    <w:p>
      <w:pPr>
        <w:pStyle w:val="Compact"/>
        <w:numPr>
          <w:ilvl w:val="0"/>
          <w:numId w:val="1010"/>
        </w:numPr>
      </w:pPr>
      <w:r>
        <w:rPr>
          <w:b/>
          <w:bCs/>
        </w:rPr>
        <w:t xml:space="preserve">The acquisition wave is increasing value per share;</w:t>
      </w:r>
    </w:p>
    <w:p>
      <w:pPr>
        <w:pStyle w:val="Compact"/>
        <w:numPr>
          <w:ilvl w:val="0"/>
          <w:numId w:val="1010"/>
        </w:numPr>
      </w:pPr>
      <w:r>
        <w:rPr>
          <w:b/>
          <w:bCs/>
        </w:rPr>
        <w:t xml:space="preserve">Leverage remains unusually low; and</w:t>
      </w:r>
    </w:p>
    <w:p>
      <w:pPr>
        <w:pStyle w:val="Compact"/>
        <w:numPr>
          <w:ilvl w:val="0"/>
          <w:numId w:val="1010"/>
        </w:numPr>
      </w:pPr>
      <w:r>
        <w:rPr>
          <w:b/>
          <w:bCs/>
        </w:rPr>
        <w:t xml:space="preserve">The 2026 growth outlook is strong enough to justify another guidance increase.</w:t>
      </w:r>
    </w:p>
    <w:p>
      <w:pPr>
        <w:pStyle w:val="FirstParagraph"/>
      </w:pPr>
      <w:r>
        <w:t xml:space="preserve">A strong beat plus higher guidance and stable leverage would reinforce the premium valuation. A beat without an outlook increase may be insufficient after the stock’s substantial run.</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welltower.com/investors/press-release-details/?id=804" TargetMode="External" /><Relationship Type="http://schemas.openxmlformats.org/officeDocument/2006/relationships/hyperlink" Id="rId24" Target="https://welltower.com/investors/press-release-details/?id=806&amp;utm_source=openai" TargetMode="External" /><Relationship Type="http://schemas.openxmlformats.org/officeDocument/2006/relationships/hyperlink" Id="rId9" Target="https://welltower.com/investors/press-release-details/?id=807&amp;utm_source=openai" TargetMode="External" /><Relationship Type="http://schemas.openxmlformats.org/officeDocument/2006/relationships/hyperlink" Id="rId10" Target="https://www.marketbeat.com/earnings/reports/2026-7-27-welltower-inc-stock/" TargetMode="External" /><Relationship Type="http://schemas.openxmlformats.org/officeDocument/2006/relationships/hyperlink" Id="rId21" Target="https://www.sec.gov/Archives/edgar/data/766704/000119312526296425/d40026dfwp.htm?utm_source=openai" TargetMode="External" /><Relationship Type="http://schemas.openxmlformats.org/officeDocument/2006/relationships/hyperlink" Id="rId12" Target="https://www.zacks.com/stock/news/2957582/welltower-gears-up-to-report-q2-earnings-whats-in-the-cards?art_rec=stocks-dividend-calendar-earnings_headlines-ID05-txt-2957582&amp;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welltower.com/investors/press-release-details/?id=804" TargetMode="External" /><Relationship Type="http://schemas.openxmlformats.org/officeDocument/2006/relationships/hyperlink" Id="rId24" Target="https://welltower.com/investors/press-release-details/?id=806&amp;utm_source=openai" TargetMode="External" /><Relationship Type="http://schemas.openxmlformats.org/officeDocument/2006/relationships/hyperlink" Id="rId9" Target="https://welltower.com/investors/press-release-details/?id=807&amp;utm_source=openai" TargetMode="External" /><Relationship Type="http://schemas.openxmlformats.org/officeDocument/2006/relationships/hyperlink" Id="rId10" Target="https://www.marketbeat.com/earnings/reports/2026-7-27-welltower-inc-stock/" TargetMode="External" /><Relationship Type="http://schemas.openxmlformats.org/officeDocument/2006/relationships/hyperlink" Id="rId21" Target="https://www.sec.gov/Archives/edgar/data/766704/000119312526296425/d40026dfwp.htm?utm_source=openai" TargetMode="External" /><Relationship Type="http://schemas.openxmlformats.org/officeDocument/2006/relationships/hyperlink" Id="rId12" Target="https://www.zacks.com/stock/news/2957582/welltower-gears-up-to-report-q2-earnings-whats-in-the-cards?art_rec=stocks-dividend-calendar-earnings_headlines-ID05-txt-2957582&amp;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2026-07-27T00:29:40Z</dcterms:created>
  <dcterms:modified xsi:type="dcterms:W3CDTF">2026-07-27T00:29:40Z</dcterms:modified>
</cp:coreProperties>
</file>

<file path=docProps/custom.xml><?xml version="1.0" encoding="utf-8"?>
<Properties xmlns="http://schemas.openxmlformats.org/officeDocument/2006/custom-properties" xmlns:vt="http://schemas.openxmlformats.org/officeDocument/2006/docPropsVTypes"/>
</file>