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well-earnings-predictions--2026-07-27"/>
    <w:p>
      <w:pPr>
        <w:pStyle w:val="Heading1"/>
      </w:pPr>
      <w:r>
        <w:t xml:space="preserve">WELL Earnings Predictions — 2026-07-27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WELL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Normalized FFO per diluted share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~$1.59 vs. cons $1.55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WELL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SHO same-store NOI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~21.0% vs. cons 19.5%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WELL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~$3.49B vs. cons $3.37B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WELL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normalized FFO per diluted share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~$6.39 midpoint vs. cons $6.34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WELL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SHO same-store NOI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~20.0% midpoint vs. cons 19.5%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WELL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WELL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+5.0% (FOLLOW-THROUGH)</w:t>
            </w:r>
          </w:p>
        </w:tc>
        <w:tc>
          <w:tcPr/>
          <w:p>
            <w:pPr>
              <w:pStyle w:val="Compact"/>
            </w:pPr>
            <w:r>
              <w:t xml:space="preserve">A ~2.6% normalized-FFO beat plus a ~5-cent FY2026 midpoint raise would lift second-half and out-year FFO estimates; continued 20% SHO-NOI growth and a full-quarter Amica contribution support upward revisions rather than a one-day valuation-only move.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2026-07-27T00:28:42Z</dcterms:created>
  <dcterms:modified xsi:type="dcterms:W3CDTF">2026-07-27T00:28:42Z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