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Welltower Inc. (WELL) — Q2 2026 Earnings Preview</w:t>
      </w:r>
    </w:p>
    <w:p>
      <w:r>
        <w:rPr>
          <w:rFonts w:ascii="Calibri" w:hAnsi="Calibri"/>
          <w:b/>
          <w:color w:val="525866"/>
          <w:sz w:val="22"/>
        </w:rPr>
        <w:t xml:space="preserve">Ticker: </w:t>
      </w:r>
      <w:r>
        <w:rPr>
          <w:rFonts w:ascii="Calibri" w:hAnsi="Calibri"/>
          <w:color w:val="525866"/>
          <w:sz w:val="22"/>
        </w:rPr>
        <w:t xml:space="preserve">WELL (NYSE)   </w:t>
      </w:r>
      <w:r>
        <w:rPr>
          <w:rFonts w:ascii="Calibri" w:hAnsi="Calibri"/>
          <w:b/>
          <w:color w:val="525866"/>
          <w:sz w:val="22"/>
        </w:rPr>
        <w:t xml:space="preserve">Earnings Date: </w:t>
      </w:r>
      <w:r>
        <w:rPr>
          <w:rFonts w:ascii="Calibri" w:hAnsi="Calibri"/>
          <w:color w:val="525866"/>
          <w:sz w:val="22"/>
        </w:rPr>
        <w:t xml:space="preserve">July 27, 2026 (After Market Close)   </w:t>
      </w:r>
      <w:r>
        <w:rPr>
          <w:rFonts w:ascii="Calibri" w:hAnsi="Calibri"/>
          <w:b/>
          <w:color w:val="525866"/>
          <w:sz w:val="22"/>
        </w:rPr>
        <w:t xml:space="preserve">Conference Call: </w:t>
      </w:r>
      <w:r>
        <w:rPr>
          <w:rFonts w:ascii="Calibri" w:hAnsi="Calibri"/>
          <w:color w:val="525866"/>
          <w:sz w:val="22"/>
        </w:rPr>
        <w:t xml:space="preserve">July 28, 2026 at 9:00 AM ET   </w:t>
      </w:r>
      <w:r>
        <w:rPr>
          <w:rFonts w:ascii="Calibri" w:hAnsi="Calibri"/>
          <w:b/>
          <w:color w:val="525866"/>
          <w:sz w:val="22"/>
        </w:rPr>
        <w:t xml:space="preserve">Prepared: </w:t>
      </w:r>
      <w:r>
        <w:rPr>
          <w:rFonts w:ascii="Calibri" w:hAnsi="Calibri"/>
          <w:color w:val="525866"/>
          <w:sz w:val="22"/>
        </w:rPr>
        <w:t>July 26, 2026</w:t>
      </w:r>
    </w:p>
    <w:p>
      <w:r>
        <w:rPr>
          <w:rFonts w:ascii="Calibri" w:hAnsi="Calibri"/>
          <w:b/>
          <w:color w:val="525866"/>
          <w:sz w:val="22"/>
        </w:rPr>
        <w:t xml:space="preserve">Sector: </w:t>
      </w:r>
      <w:r>
        <w:rPr>
          <w:rFonts w:ascii="Calibri" w:hAnsi="Calibri"/>
          <w:color w:val="525866"/>
          <w:sz w:val="22"/>
        </w:rPr>
        <w:t xml:space="preserve">Healthcare REITs   </w:t>
      </w:r>
      <w:r>
        <w:rPr>
          <w:rFonts w:ascii="Calibri" w:hAnsi="Calibri"/>
          <w:b/>
          <w:color w:val="525866"/>
          <w:sz w:val="22"/>
        </w:rPr>
        <w:t xml:space="preserve">Reporting Period: </w:t>
      </w:r>
      <w:r>
        <w:rPr>
          <w:rFonts w:ascii="Calibri" w:hAnsi="Calibri"/>
          <w:color w:val="525866"/>
          <w:sz w:val="22"/>
        </w:rPr>
        <w:t xml:space="preserve">Q2 2026 (quarter ending June 30, 2026)   </w:t>
      </w:r>
      <w:r>
        <w:rPr>
          <w:rFonts w:ascii="Calibri" w:hAnsi="Calibri"/>
          <w:b/>
          <w:color w:val="525866"/>
          <w:sz w:val="22"/>
        </w:rPr>
        <w:t xml:space="preserve">Last Earnings: </w:t>
      </w:r>
      <w:r>
        <w:rPr>
          <w:rFonts w:ascii="Calibri" w:hAnsi="Calibri"/>
          <w:color w:val="525866"/>
          <w:sz w:val="22"/>
        </w:rPr>
        <w:t>April 28, 2026 (Q1 2026)</w:t>
      </w:r>
    </w:p>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favors a beat — consensus is a manageable bar given WELL's 14-quarter streak of 20%+ SHO NOI growth, and the biggest swing factor is whether Q2 occupancy gains (the key selling season runs May–September) track at or above the 350 bps YoY embedded in full-year guidance.</w:t>
      </w:r>
    </w:p>
    <w:p>
      <w:r>
        <w:rPr>
          <w:rFonts w:ascii="Calibri" w:hAnsi="Calibri"/>
          <w:color w:val="525866"/>
          <w:sz w:val="22"/>
        </w:rPr>
        <w:t xml:space="preserve">Heading into Q2 2026, Welltower's setup is constructive: consensus expects normalized FFO/share of ~$1.55, implying ~21% YoY growth, and the bar is achievable given the company's unbroken operational momentum — 14 consecutive quarters of SHO same-store NOI growth exceeding 20%, record-low expense-per-occupied-room growth of just 40 bps in Q1, and a portfolio that is only 87% occupied, leaving substantial occupancy runway. </w:t>
      </w:r>
      <w:r>
        <w:rPr>
          <w:rFonts w:ascii="Calibri" w:hAnsi="Calibri"/>
          <w:b/>
          <w:color w:val="525866"/>
          <w:sz w:val="22"/>
        </w:rPr>
        <w:t>Management raised full-year normalized FFO guidance by $0.11 at the midpoint to $6.28 after Q1</w:t>
      </w:r>
      <w:r>
        <w:rPr>
          <w:rFonts w:ascii="Calibri" w:hAnsi="Calibri"/>
          <w:color w:val="525866"/>
          <w:sz w:val="22"/>
        </w:rPr>
        <w:t xml:space="preserve">, and the tone on the Q1 call was unambiguously bullish — CEO Shankh Mitra described Q1 as "by far the highest" total portfolio same-store NOI growth in company history (16.4%), with the SHOP annualized in-place NOI crossing $3 billion for the first time. Estimate revisions have been modestly positive since the Q1 print, with the Q2 consensus ticking up slightly from $1.554 to $1.547 (essentially flat), suggesting the street is not aggressively front-running a beat. </w:t>
      </w:r>
      <w:r>
        <w:rPr>
          <w:rFonts w:ascii="Calibri" w:hAnsi="Calibri"/>
          <w:b/>
          <w:color w:val="525866"/>
          <w:sz w:val="22"/>
        </w:rPr>
        <w:t>The stock has already re-rated sharply — up ~18% since the April 28 earnings date versus VNQ +5% and SPY +4%</w:t>
      </w:r>
      <w:r>
        <w:rPr>
          <w:rFonts w:ascii="Calibri" w:hAnsi="Calibri"/>
          <w:color w:val="525866"/>
          <w:sz w:val="22"/>
        </w:rPr>
        <w:t>, closing at all-time highs five consecutive sessions heading into the print, which raises the bar for a positive reaction. The key wildcard is the pace of Q2 occupancy gains during the May–September selling season: if the US portfolio (currently ~87% occupied) posts sequential gains above seasonal norms, it would validate the high end of the 16.5%–21.5% full-year SHO NOI growth range and likely drive further upward guidance revision — the single most powerful catalyst for this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normalized FFO/share (~$1.55, +21% YoY), but the bigger swing factor is SHO same-store NOI growth — the street expects ~20.7% for Q2, and any print above that range with an occupancy beat would likely drive upward guidance revision and a positive stock reaction.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Normalized FFO/Share (Diluted)</w:t>
            </w:r>
          </w:p>
        </w:tc>
        <w:tc>
          <w:tcPr>
            <w:tcW w:type="dxa" w:w="1234"/>
          </w:tcPr>
          <w:p>
            <w:r>
              <w:rPr>
                <w:rFonts w:ascii="Calibri" w:hAnsi="Calibri"/>
                <w:sz w:val="22"/>
              </w:rPr>
              <w:t>$1.47</w:t>
            </w:r>
          </w:p>
        </w:tc>
        <w:tc>
          <w:tcPr>
            <w:tcW w:type="dxa" w:w="1234"/>
          </w:tcPr>
          <w:p>
            <w:r>
              <w:rPr>
                <w:rFonts w:ascii="Calibri" w:hAnsi="Calibri"/>
                <w:sz w:val="22"/>
              </w:rPr>
              <w:t>$1.28</w:t>
            </w:r>
          </w:p>
        </w:tc>
        <w:tc>
          <w:tcPr>
            <w:tcW w:type="dxa" w:w="1234"/>
          </w:tcPr>
          <w:p>
            <w:r>
              <w:rPr>
                <w:rFonts w:ascii="Calibri" w:hAnsi="Calibri"/>
                <w:sz w:val="22"/>
              </w:rPr>
              <w:t>$1.55</w:t>
            </w:r>
          </w:p>
        </w:tc>
        <w:tc>
          <w:tcPr>
            <w:tcW w:type="dxa" w:w="1234"/>
          </w:tcPr>
          <w:p>
            <w:r>
              <w:rPr>
                <w:rFonts w:ascii="Calibri" w:hAnsi="Calibri"/>
                <w:sz w:val="22"/>
              </w:rPr>
              <w:t>+21.1% YoY</w:t>
            </w:r>
          </w:p>
        </w:tc>
        <w:tc>
          <w:tcPr>
            <w:tcW w:type="dxa" w:w="1234"/>
          </w:tcPr>
          <w:p>
            <w:r>
              <w:rPr>
                <w:rFonts w:ascii="Calibri" w:hAnsi="Calibri"/>
                <w:sz w:val="22"/>
              </w:rPr>
              <w:t>$6.21–$6.35 ($6.28 mid)</w:t>
            </w:r>
          </w:p>
        </w:tc>
        <w:tc>
          <w:tcPr>
            <w:tcW w:type="dxa" w:w="1234"/>
          </w:tcPr>
          <w:p>
            <w:r>
              <w:rPr>
                <w:rFonts w:ascii="Calibri" w:hAnsi="Calibri"/>
                <w:sz w:val="22"/>
              </w:rPr>
              <w:t>~+1.5% vs. mid</w:t>
            </w:r>
          </w:p>
        </w:tc>
      </w:tr>
      <w:tr>
        <w:tc>
          <w:tcPr>
            <w:tcW w:type="dxa" w:w="1234"/>
          </w:tcPr>
          <w:p>
            <w:r>
              <w:rPr>
                <w:rFonts w:ascii="Calibri" w:hAnsi="Calibri"/>
                <w:sz w:val="22"/>
              </w:rPr>
              <w:t>SHO Same-Store NOI Growth (YoY %)</w:t>
            </w:r>
          </w:p>
        </w:tc>
        <w:tc>
          <w:tcPr>
            <w:tcW w:type="dxa" w:w="1234"/>
          </w:tcPr>
          <w:p>
            <w:r>
              <w:rPr>
                <w:rFonts w:ascii="Calibri" w:hAnsi="Calibri"/>
                <w:sz w:val="22"/>
              </w:rPr>
              <w:t>22.1%</w:t>
            </w:r>
          </w:p>
        </w:tc>
        <w:tc>
          <w:tcPr>
            <w:tcW w:type="dxa" w:w="1234"/>
          </w:tcPr>
          <w:p>
            <w:r>
              <w:rPr>
                <w:rFonts w:ascii="Calibri" w:hAnsi="Calibri"/>
                <w:sz w:val="22"/>
              </w:rPr>
              <w:t>23.4%</w:t>
            </w:r>
          </w:p>
        </w:tc>
        <w:tc>
          <w:tcPr>
            <w:tcW w:type="dxa" w:w="1234"/>
          </w:tcPr>
          <w:p>
            <w:r>
              <w:rPr>
                <w:rFonts w:ascii="Calibri" w:hAnsi="Calibri"/>
                <w:sz w:val="22"/>
              </w:rPr>
              <w:t>~20.7%</w:t>
            </w:r>
          </w:p>
        </w:tc>
        <w:tc>
          <w:tcPr>
            <w:tcW w:type="dxa" w:w="1234"/>
          </w:tcPr>
          <w:p>
            <w:r>
              <w:rPr>
                <w:rFonts w:ascii="Calibri" w:hAnsi="Calibri"/>
                <w:sz w:val="22"/>
              </w:rPr>
              <w:t>-270 bps YoY</w:t>
            </w:r>
          </w:p>
        </w:tc>
        <w:tc>
          <w:tcPr>
            <w:tcW w:type="dxa" w:w="1234"/>
          </w:tcPr>
          <w:p>
            <w:r>
              <w:rPr>
                <w:rFonts w:ascii="Calibri" w:hAnsi="Calibri"/>
                <w:sz w:val="22"/>
              </w:rPr>
              <w:t>16.5%–21.5% (19% mid)</w:t>
            </w:r>
          </w:p>
        </w:tc>
        <w:tc>
          <w:tcPr>
            <w:tcW w:type="dxa" w:w="1234"/>
          </w:tcPr>
          <w:p>
            <w:r>
              <w:rPr>
                <w:rFonts w:ascii="Calibri" w:hAnsi="Calibri"/>
                <w:sz w:val="22"/>
              </w:rPr>
              <w:t>+170 bps vs. mid</w:t>
            </w:r>
          </w:p>
        </w:tc>
      </w:tr>
      <w:tr>
        <w:tc>
          <w:tcPr>
            <w:tcW w:type="dxa" w:w="1234"/>
          </w:tcPr>
          <w:p>
            <w:r>
              <w:rPr>
                <w:rFonts w:ascii="Calibri" w:hAnsi="Calibri"/>
                <w:sz w:val="22"/>
              </w:rPr>
              <w:t>Total Portfolio SS NOI Growth (YoY %)</w:t>
            </w:r>
          </w:p>
        </w:tc>
        <w:tc>
          <w:tcPr>
            <w:tcW w:type="dxa" w:w="1234"/>
          </w:tcPr>
          <w:p>
            <w:r>
              <w:rPr>
                <w:rFonts w:ascii="Calibri" w:hAnsi="Calibri"/>
                <w:sz w:val="22"/>
              </w:rPr>
              <w:t>16.4%</w:t>
            </w:r>
          </w:p>
        </w:tc>
        <w:tc>
          <w:tcPr>
            <w:tcW w:type="dxa" w:w="1234"/>
          </w:tcPr>
          <w:p>
            <w:r>
              <w:rPr>
                <w:rFonts w:ascii="Calibri" w:hAnsi="Calibri"/>
                <w:sz w:val="22"/>
              </w:rPr>
              <w:t>13.8%</w:t>
            </w:r>
          </w:p>
        </w:tc>
        <w:tc>
          <w:tcPr>
            <w:tcW w:type="dxa" w:w="1234"/>
          </w:tcPr>
          <w:p>
            <w:r>
              <w:rPr>
                <w:rFonts w:ascii="Calibri" w:hAnsi="Calibri"/>
                <w:sz w:val="22"/>
              </w:rPr>
              <w:t>~16.6%</w:t>
            </w:r>
          </w:p>
        </w:tc>
        <w:tc>
          <w:tcPr>
            <w:tcW w:type="dxa" w:w="1234"/>
          </w:tcPr>
          <w:p>
            <w:r>
              <w:rPr>
                <w:rFonts w:ascii="Calibri" w:hAnsi="Calibri"/>
                <w:sz w:val="22"/>
              </w:rPr>
              <w:t>+280 bps YoY</w:t>
            </w:r>
          </w:p>
        </w:tc>
        <w:tc>
          <w:tcPr>
            <w:tcW w:type="dxa" w:w="1234"/>
          </w:tcPr>
          <w:p>
            <w:r>
              <w:rPr>
                <w:rFonts w:ascii="Calibri" w:hAnsi="Calibri"/>
                <w:sz w:val="22"/>
              </w:rPr>
              <w:t>12.25%–16.0% (14.1% mid)</w:t>
            </w:r>
          </w:p>
        </w:tc>
        <w:tc>
          <w:tcPr>
            <w:tcW w:type="dxa" w:w="1234"/>
          </w:tcPr>
          <w:p>
            <w:r>
              <w:rPr>
                <w:rFonts w:ascii="Calibri" w:hAnsi="Calibri"/>
                <w:sz w:val="22"/>
              </w:rPr>
              <w:t>+250 bps vs. mid</w:t>
            </w:r>
          </w:p>
        </w:tc>
      </w:tr>
      <w:tr>
        <w:tc>
          <w:tcPr>
            <w:tcW w:type="dxa" w:w="1234"/>
          </w:tcPr>
          <w:p>
            <w:r>
              <w:rPr>
                <w:rFonts w:ascii="Calibri" w:hAnsi="Calibri"/>
                <w:sz w:val="22"/>
              </w:rPr>
              <w:t>SHO Occupancy Rate (%)</w:t>
            </w:r>
          </w:p>
        </w:tc>
        <w:tc>
          <w:tcPr>
            <w:tcW w:type="dxa" w:w="1234"/>
          </w:tcPr>
          <w:p>
            <w:r>
              <w:rPr>
                <w:rFonts w:ascii="Calibri" w:hAnsi="Calibri"/>
                <w:sz w:val="22"/>
              </w:rPr>
              <w:t>87.3%</w:t>
            </w:r>
          </w:p>
        </w:tc>
        <w:tc>
          <w:tcPr>
            <w:tcW w:type="dxa" w:w="1234"/>
          </w:tcPr>
          <w:p>
            <w:r>
              <w:rPr>
                <w:rFonts w:ascii="Calibri" w:hAnsi="Calibri"/>
                <w:sz w:val="22"/>
              </w:rPr>
              <w:t>85.6%</w:t>
            </w:r>
          </w:p>
        </w:tc>
        <w:tc>
          <w:tcPr>
            <w:tcW w:type="dxa" w:w="1234"/>
          </w:tcPr>
          <w:p>
            <w:r>
              <w:rPr>
                <w:rFonts w:ascii="Calibri" w:hAnsi="Calibri"/>
                <w:sz w:val="22"/>
              </w:rPr>
              <w:t>~88.1%</w:t>
            </w:r>
          </w:p>
        </w:tc>
        <w:tc>
          <w:tcPr>
            <w:tcW w:type="dxa" w:w="1234"/>
          </w:tcPr>
          <w:p>
            <w:r>
              <w:rPr>
                <w:rFonts w:ascii="Calibri" w:hAnsi="Calibri"/>
                <w:sz w:val="22"/>
              </w:rPr>
              <w:t>+250 bps YoY</w:t>
            </w:r>
          </w:p>
        </w:tc>
        <w:tc>
          <w:tcPr>
            <w:tcW w:type="dxa" w:w="1234"/>
          </w:tcPr>
          <w:p>
            <w:r>
              <w:rPr>
                <w:rFonts w:ascii="Calibri" w:hAnsi="Calibri"/>
                <w:sz w:val="22"/>
              </w:rPr>
              <w:t>+350 bps YoY (FY mid)</w:t>
            </w:r>
          </w:p>
        </w:tc>
        <w:tc>
          <w:tcPr>
            <w:tcW w:type="dxa" w:w="1234"/>
          </w:tcPr>
          <w:p>
            <w:r>
              <w:rPr>
                <w:rFonts w:ascii="Calibri" w:hAnsi="Calibri"/>
                <w:sz w:val="22"/>
              </w:rPr>
              <w:t>~-100 bps vs. FY mid</w:t>
            </w:r>
          </w:p>
        </w:tc>
      </w:tr>
      <w:tr>
        <w:tc>
          <w:tcPr>
            <w:tcW w:type="dxa" w:w="1234"/>
          </w:tcPr>
          <w:p>
            <w:r>
              <w:rPr>
                <w:rFonts w:ascii="Calibri" w:hAnsi="Calibri"/>
                <w:sz w:val="22"/>
              </w:rPr>
              <w:t>Same-Store RevPOR (SHO, $)</w:t>
            </w:r>
          </w:p>
        </w:tc>
        <w:tc>
          <w:tcPr>
            <w:tcW w:type="dxa" w:w="1234"/>
          </w:tcPr>
          <w:p>
            <w:r>
              <w:rPr>
                <w:rFonts w:ascii="Calibri" w:hAnsi="Calibri"/>
                <w:sz w:val="22"/>
              </w:rPr>
              <w:t>$6,259</w:t>
            </w:r>
          </w:p>
        </w:tc>
        <w:tc>
          <w:tcPr>
            <w:tcW w:type="dxa" w:w="1234"/>
          </w:tcPr>
          <w:p>
            <w:r>
              <w:rPr>
                <w:rFonts w:ascii="Calibri" w:hAnsi="Calibri"/>
                <w:sz w:val="22"/>
              </w:rPr>
              <w:t>$5,949</w:t>
            </w:r>
          </w:p>
        </w:tc>
        <w:tc>
          <w:tcPr>
            <w:tcW w:type="dxa" w:w="1234"/>
          </w:tcPr>
          <w:p>
            <w:r>
              <w:rPr>
                <w:rFonts w:ascii="Calibri" w:hAnsi="Calibri"/>
                <w:sz w:val="22"/>
              </w:rPr>
              <w:t>~$6,264</w:t>
            </w:r>
          </w:p>
        </w:tc>
        <w:tc>
          <w:tcPr>
            <w:tcW w:type="dxa" w:w="1234"/>
          </w:tcPr>
          <w:p>
            <w:r>
              <w:rPr>
                <w:rFonts w:ascii="Calibri" w:hAnsi="Calibri"/>
                <w:sz w:val="22"/>
              </w:rPr>
              <w:t>+5.3% YoY</w:t>
            </w:r>
          </w:p>
        </w:tc>
        <w:tc>
          <w:tcPr>
            <w:tcW w:type="dxa" w:w="1234"/>
          </w:tcPr>
          <w:p>
            <w:r>
              <w:rPr>
                <w:rFonts w:ascii="Calibri" w:hAnsi="Calibri"/>
                <w:sz w:val="22"/>
              </w:rPr>
              <w:t>+5.0% YoY (FY mid)</w:t>
            </w:r>
          </w:p>
        </w:tc>
        <w:tc>
          <w:tcPr>
            <w:tcW w:type="dxa" w:w="1234"/>
          </w:tcPr>
          <w:p>
            <w:r>
              <w:rPr>
                <w:rFonts w:ascii="Calibri" w:hAnsi="Calibri"/>
                <w:sz w:val="22"/>
              </w:rPr>
              <w:t>~+30 bps vs. FY mid</w:t>
            </w:r>
          </w:p>
        </w:tc>
      </w:tr>
      <w:tr>
        <w:tc>
          <w:tcPr>
            <w:tcW w:type="dxa" w:w="1234"/>
          </w:tcPr>
          <w:p>
            <w:r>
              <w:rPr>
                <w:rFonts w:ascii="Calibri" w:hAnsi="Calibri"/>
                <w:sz w:val="22"/>
              </w:rPr>
              <w:t>SS RevPOR Growth YoY (SHO, %)</w:t>
            </w:r>
          </w:p>
        </w:tc>
        <w:tc>
          <w:tcPr>
            <w:tcW w:type="dxa" w:w="1234"/>
          </w:tcPr>
          <w:p>
            <w:r>
              <w:rPr>
                <w:rFonts w:ascii="Calibri" w:hAnsi="Calibri"/>
                <w:sz w:val="22"/>
              </w:rPr>
              <w:t>5.0%</w:t>
            </w:r>
          </w:p>
        </w:tc>
        <w:tc>
          <w:tcPr>
            <w:tcW w:type="dxa" w:w="1234"/>
          </w:tcPr>
          <w:p>
            <w:r>
              <w:rPr>
                <w:rFonts w:ascii="Calibri" w:hAnsi="Calibri"/>
                <w:sz w:val="22"/>
              </w:rPr>
              <w:t>4.9%</w:t>
            </w:r>
          </w:p>
        </w:tc>
        <w:tc>
          <w:tcPr>
            <w:tcW w:type="dxa" w:w="1234"/>
          </w:tcPr>
          <w:p>
            <w:r>
              <w:rPr>
                <w:rFonts w:ascii="Calibri" w:hAnsi="Calibri"/>
                <w:sz w:val="22"/>
              </w:rPr>
              <w:t>~5.4%</w:t>
            </w:r>
          </w:p>
        </w:tc>
        <w:tc>
          <w:tcPr>
            <w:tcW w:type="dxa" w:w="1234"/>
          </w:tcPr>
          <w:p>
            <w:r>
              <w:rPr>
                <w:rFonts w:ascii="Calibri" w:hAnsi="Calibri"/>
                <w:sz w:val="22"/>
              </w:rPr>
              <w:t>+50 bps YoY</w:t>
            </w:r>
          </w:p>
        </w:tc>
        <w:tc>
          <w:tcPr>
            <w:tcW w:type="dxa" w:w="1234"/>
          </w:tcPr>
          <w:p>
            <w:r>
              <w:rPr>
                <w:rFonts w:ascii="Calibri" w:hAnsi="Calibri"/>
                <w:sz w:val="22"/>
              </w:rPr>
              <w:t>5.0% (FY mid)</w:t>
            </w:r>
          </w:p>
        </w:tc>
        <w:tc>
          <w:tcPr>
            <w:tcW w:type="dxa" w:w="1234"/>
          </w:tcPr>
          <w:p>
            <w:r>
              <w:rPr>
                <w:rFonts w:ascii="Calibri" w:hAnsi="Calibri"/>
                <w:sz w:val="22"/>
              </w:rPr>
              <w:t>+40 bps vs. FY mid</w:t>
            </w:r>
          </w:p>
        </w:tc>
      </w:tr>
      <w:tr>
        <w:tc>
          <w:tcPr>
            <w:tcW w:type="dxa" w:w="1234"/>
          </w:tcPr>
          <w:p>
            <w:r>
              <w:rPr>
                <w:rFonts w:ascii="Calibri" w:hAnsi="Calibri"/>
                <w:sz w:val="22"/>
              </w:rPr>
              <w:t>SS Expense Growth YoY (SHO, %)</w:t>
            </w:r>
          </w:p>
        </w:tc>
        <w:tc>
          <w:tcPr>
            <w:tcW w:type="dxa" w:w="1234"/>
          </w:tcPr>
          <w:p>
            <w:r>
              <w:rPr>
                <w:rFonts w:ascii="Calibri" w:hAnsi="Calibri"/>
                <w:sz w:val="22"/>
              </w:rPr>
              <w:t>4.7%</w:t>
            </w:r>
          </w:p>
        </w:tc>
        <w:tc>
          <w:tcPr>
            <w:tcW w:type="dxa" w:w="1234"/>
          </w:tcPr>
          <w:p>
            <w:r>
              <w:rPr>
                <w:rFonts w:ascii="Calibri" w:hAnsi="Calibri"/>
                <w:sz w:val="22"/>
              </w:rPr>
              <w:t>5.1%</w:t>
            </w:r>
          </w:p>
        </w:tc>
        <w:tc>
          <w:tcPr>
            <w:tcW w:type="dxa" w:w="1234"/>
          </w:tcPr>
          <w:p>
            <w:r>
              <w:rPr>
                <w:rFonts w:ascii="Calibri" w:hAnsi="Calibri"/>
                <w:sz w:val="22"/>
              </w:rPr>
              <w:t>~4.7%</w:t>
            </w:r>
          </w:p>
        </w:tc>
        <w:tc>
          <w:tcPr>
            <w:tcW w:type="dxa" w:w="1234"/>
          </w:tcPr>
          <w:p>
            <w:r>
              <w:rPr>
                <w:rFonts w:ascii="Calibri" w:hAnsi="Calibri"/>
                <w:sz w:val="22"/>
              </w:rPr>
              <w:t>-40 bps YoY</w:t>
            </w:r>
          </w:p>
        </w:tc>
        <w:tc>
          <w:tcPr>
            <w:tcW w:type="dxa" w:w="1234"/>
          </w:tcPr>
          <w:p>
            <w:r>
              <w:rPr>
                <w:rFonts w:ascii="Calibri" w:hAnsi="Calibri"/>
                <w:sz w:val="22"/>
              </w:rPr>
              <w:t>5.3% ExpPOR (FY mid)</w:t>
            </w:r>
          </w:p>
        </w:tc>
        <w:tc>
          <w:tcPr>
            <w:tcW w:type="dxa" w:w="1234"/>
          </w:tcPr>
          <w:p>
            <w:r>
              <w:rPr>
                <w:rFonts w:ascii="Calibri" w:hAnsi="Calibri"/>
                <w:sz w:val="22"/>
              </w:rPr>
              <w:t>~-60 bps vs. FY mid</w:t>
            </w:r>
          </w:p>
        </w:tc>
      </w:tr>
      <w:tr>
        <w:tc>
          <w:tcPr>
            <w:tcW w:type="dxa" w:w="1234"/>
          </w:tcPr>
          <w:p>
            <w:r>
              <w:rPr>
                <w:rFonts w:ascii="Calibri" w:hAnsi="Calibri"/>
                <w:sz w:val="22"/>
              </w:rPr>
              <w:t>Normalized FFO ($M)</w:t>
            </w:r>
          </w:p>
        </w:tc>
        <w:tc>
          <w:tcPr>
            <w:tcW w:type="dxa" w:w="1234"/>
          </w:tcPr>
          <w:p>
            <w:r>
              <w:rPr>
                <w:rFonts w:ascii="Calibri" w:hAnsi="Calibri"/>
                <w:sz w:val="22"/>
              </w:rPr>
              <w:t>$1,066.7M</w:t>
            </w:r>
          </w:p>
        </w:tc>
        <w:tc>
          <w:tcPr>
            <w:tcW w:type="dxa" w:w="1234"/>
          </w:tcPr>
          <w:p>
            <w:r>
              <w:rPr>
                <w:rFonts w:ascii="Calibri" w:hAnsi="Calibri"/>
                <w:sz w:val="22"/>
              </w:rPr>
              <w:t>$857.2M</w:t>
            </w:r>
          </w:p>
        </w:tc>
        <w:tc>
          <w:tcPr>
            <w:tcW w:type="dxa" w:w="1234"/>
          </w:tcPr>
          <w:p>
            <w:r>
              <w:rPr>
                <w:rFonts w:ascii="Calibri" w:hAnsi="Calibri"/>
                <w:sz w:val="22"/>
              </w:rPr>
              <w:t>~$1,138.7M</w:t>
            </w:r>
          </w:p>
        </w:tc>
        <w:tc>
          <w:tcPr>
            <w:tcW w:type="dxa" w:w="1234"/>
          </w:tcPr>
          <w:p>
            <w:r>
              <w:rPr>
                <w:rFonts w:ascii="Calibri" w:hAnsi="Calibri"/>
                <w:sz w:val="22"/>
              </w:rPr>
              <w:t>+32.8% YoY</w:t>
            </w:r>
          </w:p>
        </w:tc>
        <w:tc>
          <w:tcPr>
            <w:tcW w:type="dxa" w:w="1234"/>
          </w:tcPr>
          <w:p>
            <w:r>
              <w:rPr>
                <w:rFonts w:ascii="Calibri" w:hAnsi="Calibri"/>
                <w:sz w:val="22"/>
              </w:rPr>
              <w:t>~$4,651M (FY cons.)</w:t>
            </w:r>
          </w:p>
        </w:tc>
        <w:tc>
          <w:tcPr>
            <w:tcW w:type="dxa" w:w="1234"/>
          </w:tcPr>
          <w:p>
            <w:r>
              <w:rPr>
                <w:rFonts w:ascii="Calibri" w:hAnsi="Calibri"/>
                <w:sz w:val="22"/>
              </w:rPr>
              <w:t>N/A — no $ guidance</w:t>
            </w:r>
          </w:p>
        </w:tc>
      </w:tr>
      <w:tr>
        <w:tc>
          <w:tcPr>
            <w:tcW w:type="dxa" w:w="1234"/>
          </w:tcPr>
          <w:p>
            <w:r>
              <w:rPr>
                <w:rFonts w:ascii="Calibri" w:hAnsi="Calibri"/>
                <w:sz w:val="22"/>
              </w:rPr>
              <w:t>SHO Resident Fees &amp; Services ($M, pro rata)</w:t>
            </w:r>
          </w:p>
        </w:tc>
        <w:tc>
          <w:tcPr>
            <w:tcW w:type="dxa" w:w="1234"/>
          </w:tcPr>
          <w:p>
            <w:r>
              <w:rPr>
                <w:rFonts w:ascii="Calibri" w:hAnsi="Calibri"/>
                <w:sz w:val="22"/>
              </w:rPr>
              <w:t>$2,814.4M</w:t>
            </w:r>
          </w:p>
        </w:tc>
        <w:tc>
          <w:tcPr>
            <w:tcW w:type="dxa" w:w="1234"/>
          </w:tcPr>
          <w:p>
            <w:r>
              <w:rPr>
                <w:rFonts w:ascii="Calibri" w:hAnsi="Calibri"/>
                <w:sz w:val="22"/>
              </w:rPr>
              <w:t>$2,003.0M</w:t>
            </w:r>
          </w:p>
        </w:tc>
        <w:tc>
          <w:tcPr>
            <w:tcW w:type="dxa" w:w="1234"/>
          </w:tcPr>
          <w:p>
            <w:r>
              <w:rPr>
                <w:rFonts w:ascii="Calibri" w:hAnsi="Calibri"/>
                <w:sz w:val="22"/>
              </w:rPr>
              <w:t>~$2,904.7M</w:t>
            </w:r>
          </w:p>
        </w:tc>
        <w:tc>
          <w:tcPr>
            <w:tcW w:type="dxa" w:w="1234"/>
          </w:tcPr>
          <w:p>
            <w:r>
              <w:rPr>
                <w:rFonts w:ascii="Calibri" w:hAnsi="Calibri"/>
                <w:sz w:val="22"/>
              </w:rPr>
              <w:t>+45.0% YoY</w:t>
            </w:r>
          </w:p>
        </w:tc>
        <w:tc>
          <w:tcPr>
            <w:tcW w:type="dxa" w:w="1234"/>
          </w:tcPr>
          <w:p>
            <w:r>
              <w:rPr>
                <w:rFonts w:ascii="Calibri" w:hAnsi="Calibri"/>
                <w:sz w:val="22"/>
              </w:rPr>
              <w:t>N/A — no segment $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26, 2026. FY 2026 guidance from Q1 2026 earnings call (April 28–29, 2026). YoY change for SHO Resident Fees reflects significant portfolio expansion from acquisitions (Amica, HC-One, Barchester, etc.) and is not purely organic.</w:t>
      </w:r>
    </w:p>
    <w:p>
      <w:pPr>
        <w:pStyle w:val="Heading3"/>
      </w:pPr>
      <w:r>
        <w:rPr>
          <w:rFonts w:ascii="Calibri" w:hAnsi="Calibri"/>
          <w:b/>
          <w:color w:val="3B4259"/>
          <w:sz w:val="24"/>
        </w:rPr>
        <w:t>Table 2 — Beat/Miss History (Last 8 Quarters, Top 2 KPIs)</w:t>
      </w:r>
    </w:p>
    <w:p>
      <w:r>
        <w:rPr>
          <w:rFonts w:ascii="Calibri" w:hAnsi="Calibri"/>
          <w:color w:val="525866"/>
          <w:sz w:val="22"/>
        </w:rPr>
        <w:t>KPI 1: Normalized FFO per Share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$1.05</w:t>
            </w:r>
          </w:p>
        </w:tc>
        <w:tc>
          <w:tcPr>
            <w:tcW w:type="dxa" w:w="1728"/>
          </w:tcPr>
          <w:p>
            <w:r>
              <w:rPr>
                <w:rFonts w:ascii="Calibri" w:hAnsi="Calibri"/>
                <w:sz w:val="22"/>
              </w:rPr>
              <w:t>$1.008</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$1.11</w:t>
            </w:r>
          </w:p>
        </w:tc>
        <w:tc>
          <w:tcPr>
            <w:tcW w:type="dxa" w:w="1728"/>
          </w:tcPr>
          <w:p>
            <w:r>
              <w:rPr>
                <w:rFonts w:ascii="Calibri" w:hAnsi="Calibri"/>
                <w:sz w:val="22"/>
              </w:rPr>
              <w:t>$1.042</w:t>
            </w:r>
          </w:p>
        </w:tc>
        <w:tc>
          <w:tcPr>
            <w:tcW w:type="dxa" w:w="1728"/>
          </w:tcPr>
          <w:p>
            <w:r>
              <w:rPr>
                <w:rFonts w:ascii="Calibri" w:hAnsi="Calibri"/>
                <w:b/>
                <w:color w:val="30A46C"/>
                <w:sz w:val="22"/>
              </w:rPr>
              <w:t>+6.5%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$1.13</w:t>
            </w:r>
          </w:p>
        </w:tc>
        <w:tc>
          <w:tcPr>
            <w:tcW w:type="dxa" w:w="1728"/>
          </w:tcPr>
          <w:p>
            <w:r>
              <w:rPr>
                <w:rFonts w:ascii="Calibri" w:hAnsi="Calibri"/>
                <w:sz w:val="22"/>
              </w:rPr>
              <w:t>$1.122</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$1.20</w:t>
            </w:r>
          </w:p>
        </w:tc>
        <w:tc>
          <w:tcPr>
            <w:tcW w:type="dxa" w:w="1728"/>
          </w:tcPr>
          <w:p>
            <w:r>
              <w:rPr>
                <w:rFonts w:ascii="Calibri" w:hAnsi="Calibri"/>
                <w:sz w:val="22"/>
              </w:rPr>
              <w:t>$1.140</w:t>
            </w:r>
          </w:p>
        </w:tc>
        <w:tc>
          <w:tcPr>
            <w:tcW w:type="dxa" w:w="1728"/>
          </w:tcPr>
          <w:p>
            <w:r>
              <w:rPr>
                <w:rFonts w:ascii="Calibri" w:hAnsi="Calibri"/>
                <w:b/>
                <w:color w:val="30A46C"/>
                <w:sz w:val="22"/>
              </w:rPr>
              <w:t>+5.3%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$1.28</w:t>
            </w:r>
          </w:p>
        </w:tc>
        <w:tc>
          <w:tcPr>
            <w:tcW w:type="dxa" w:w="1728"/>
          </w:tcPr>
          <w:p>
            <w:r>
              <w:rPr>
                <w:rFonts w:ascii="Calibri" w:hAnsi="Calibri"/>
                <w:sz w:val="22"/>
              </w:rPr>
              <w:t>$1.228</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$1.34</w:t>
            </w:r>
          </w:p>
        </w:tc>
        <w:tc>
          <w:tcPr>
            <w:tcW w:type="dxa" w:w="1728"/>
          </w:tcPr>
          <w:p>
            <w:r>
              <w:rPr>
                <w:rFonts w:ascii="Calibri" w:hAnsi="Calibri"/>
                <w:sz w:val="22"/>
              </w:rPr>
              <w:t>$1.297</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$1.45</w:t>
            </w:r>
          </w:p>
        </w:tc>
        <w:tc>
          <w:tcPr>
            <w:tcW w:type="dxa" w:w="1728"/>
          </w:tcPr>
          <w:p>
            <w:r>
              <w:rPr>
                <w:rFonts w:ascii="Calibri" w:hAnsi="Calibri"/>
                <w:sz w:val="22"/>
              </w:rPr>
              <w:t>$1.444</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$1.47</w:t>
            </w:r>
          </w:p>
        </w:tc>
        <w:tc>
          <w:tcPr>
            <w:tcW w:type="dxa" w:w="1728"/>
          </w:tcPr>
          <w:p>
            <w:r>
              <w:rPr>
                <w:rFonts w:ascii="Calibri" w:hAnsi="Calibri"/>
                <w:sz w:val="22"/>
              </w:rPr>
              <w:t>$1.432</w:t>
            </w:r>
          </w:p>
        </w:tc>
        <w:tc>
          <w:tcPr>
            <w:tcW w:type="dxa" w:w="1728"/>
          </w:tcPr>
          <w:p>
            <w:r>
              <w:rPr>
                <w:rFonts w:ascii="Calibri" w:hAnsi="Calibri"/>
                <w:b/>
                <w:color w:val="30A46C"/>
                <w:sz w:val="22"/>
              </w:rPr>
              <w:t>+2.7%</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WELL has beaten normalized FFO/share consensus in all 8 of the last 8 quarters, with surprise magnitudes ranging from +0.4% to +6.5% — a remarkably consistent track record that sets a high bar for the market's reaction to any in-line print.</w:t>
      </w:r>
    </w:p>
    <w:p>
      <w:r>
        <w:rPr>
          <w:rFonts w:ascii="Calibri" w:hAnsi="Calibri"/>
          <w:color w:val="525866"/>
          <w:sz w:val="22"/>
        </w:rPr>
        <w:t>KPI 2: SHO Same-Store NOI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21.7%</w:t>
            </w:r>
          </w:p>
        </w:tc>
        <w:tc>
          <w:tcPr>
            <w:tcW w:type="dxa" w:w="1728"/>
          </w:tcPr>
          <w:p>
            <w:r>
              <w:rPr>
                <w:rFonts w:ascii="Calibri" w:hAnsi="Calibri"/>
                <w:sz w:val="22"/>
              </w:rPr>
              <w:t>17.4%</w:t>
            </w:r>
          </w:p>
        </w:tc>
        <w:tc>
          <w:tcPr>
            <w:tcW w:type="dxa" w:w="1728"/>
          </w:tcPr>
          <w:p>
            <w:r>
              <w:rPr>
                <w:rFonts w:ascii="Calibri" w:hAnsi="Calibri"/>
                <w:b/>
                <w:color w:val="30A46C"/>
                <w:sz w:val="22"/>
              </w:rPr>
              <w:t>+430 bps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23.0%</w:t>
            </w:r>
          </w:p>
        </w:tc>
        <w:tc>
          <w:tcPr>
            <w:tcW w:type="dxa" w:w="1728"/>
          </w:tcPr>
          <w:p>
            <w:r>
              <w:rPr>
                <w:rFonts w:ascii="Calibri" w:hAnsi="Calibri"/>
                <w:sz w:val="22"/>
              </w:rPr>
              <w:t>19.7%</w:t>
            </w:r>
          </w:p>
        </w:tc>
        <w:tc>
          <w:tcPr>
            <w:tcW w:type="dxa" w:w="1728"/>
          </w:tcPr>
          <w:p>
            <w:r>
              <w:rPr>
                <w:rFonts w:ascii="Calibri" w:hAnsi="Calibri"/>
                <w:b/>
                <w:color w:val="30A46C"/>
                <w:sz w:val="22"/>
              </w:rPr>
              <w:t>+330 bps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23.9%</w:t>
            </w:r>
          </w:p>
        </w:tc>
        <w:tc>
          <w:tcPr>
            <w:tcW w:type="dxa" w:w="1728"/>
          </w:tcPr>
          <w:p>
            <w:r>
              <w:rPr>
                <w:rFonts w:ascii="Calibri" w:hAnsi="Calibri"/>
                <w:sz w:val="22"/>
              </w:rPr>
              <w:t>24.0%</w:t>
            </w:r>
          </w:p>
        </w:tc>
        <w:tc>
          <w:tcPr>
            <w:tcW w:type="dxa" w:w="1728"/>
          </w:tcPr>
          <w:p>
            <w:r>
              <w:rPr>
                <w:rFonts w:ascii="Calibri" w:hAnsi="Calibri"/>
                <w:b/>
                <w:color w:val="E5484D"/>
                <w:sz w:val="22"/>
              </w:rPr>
              <w:t>-10 bps</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21.7%</w:t>
            </w:r>
          </w:p>
        </w:tc>
        <w:tc>
          <w:tcPr>
            <w:tcW w:type="dxa" w:w="1728"/>
          </w:tcPr>
          <w:p>
            <w:r>
              <w:rPr>
                <w:rFonts w:ascii="Calibri" w:hAnsi="Calibri"/>
                <w:sz w:val="22"/>
              </w:rPr>
              <w:t>21.5%</w:t>
            </w:r>
          </w:p>
        </w:tc>
        <w:tc>
          <w:tcPr>
            <w:tcW w:type="dxa" w:w="1728"/>
          </w:tcPr>
          <w:p>
            <w:r>
              <w:rPr>
                <w:rFonts w:ascii="Calibri" w:hAnsi="Calibri"/>
                <w:b/>
                <w:color w:val="30A46C"/>
                <w:sz w:val="22"/>
              </w:rPr>
              <w:t>+20 bps</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23.4%</w:t>
            </w:r>
          </w:p>
        </w:tc>
        <w:tc>
          <w:tcPr>
            <w:tcW w:type="dxa" w:w="1728"/>
          </w:tcPr>
          <w:p>
            <w:r>
              <w:rPr>
                <w:rFonts w:ascii="Calibri" w:hAnsi="Calibri"/>
                <w:sz w:val="22"/>
              </w:rPr>
              <w:t>21.7%</w:t>
            </w:r>
          </w:p>
        </w:tc>
        <w:tc>
          <w:tcPr>
            <w:tcW w:type="dxa" w:w="1728"/>
          </w:tcPr>
          <w:p>
            <w:r>
              <w:rPr>
                <w:rFonts w:ascii="Calibri" w:hAnsi="Calibri"/>
                <w:b/>
                <w:color w:val="30A46C"/>
                <w:sz w:val="22"/>
              </w:rPr>
              <w:t>+170 bps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20.3%</w:t>
            </w:r>
          </w:p>
        </w:tc>
        <w:tc>
          <w:tcPr>
            <w:tcW w:type="dxa" w:w="1728"/>
          </w:tcPr>
          <w:p>
            <w:r>
              <w:rPr>
                <w:rFonts w:ascii="Calibri" w:hAnsi="Calibri"/>
                <w:sz w:val="22"/>
              </w:rPr>
              <w:t>21.5%</w:t>
            </w:r>
          </w:p>
        </w:tc>
        <w:tc>
          <w:tcPr>
            <w:tcW w:type="dxa" w:w="1728"/>
          </w:tcPr>
          <w:p>
            <w:r>
              <w:rPr>
                <w:rFonts w:ascii="Calibri" w:hAnsi="Calibri"/>
                <w:b/>
                <w:color w:val="E5484D"/>
                <w:sz w:val="22"/>
              </w:rPr>
              <w:t>-120 bps</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20.4%</w:t>
            </w:r>
          </w:p>
        </w:tc>
        <w:tc>
          <w:tcPr>
            <w:tcW w:type="dxa" w:w="1728"/>
          </w:tcPr>
          <w:p>
            <w:r>
              <w:rPr>
                <w:rFonts w:ascii="Calibri" w:hAnsi="Calibri"/>
                <w:sz w:val="22"/>
              </w:rPr>
              <w:t>22.7%</w:t>
            </w:r>
          </w:p>
        </w:tc>
        <w:tc>
          <w:tcPr>
            <w:tcW w:type="dxa" w:w="1728"/>
          </w:tcPr>
          <w:p>
            <w:r>
              <w:rPr>
                <w:rFonts w:ascii="Calibri" w:hAnsi="Calibri"/>
                <w:b/>
                <w:color w:val="E5484D"/>
                <w:sz w:val="22"/>
              </w:rPr>
              <w:t>-230 bps</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22.1%</w:t>
            </w:r>
          </w:p>
        </w:tc>
        <w:tc>
          <w:tcPr>
            <w:tcW w:type="dxa" w:w="1728"/>
          </w:tcPr>
          <w:p>
            <w:r>
              <w:rPr>
                <w:rFonts w:ascii="Calibri" w:hAnsi="Calibri"/>
                <w:sz w:val="22"/>
              </w:rPr>
              <w:t>18.1%</w:t>
            </w:r>
          </w:p>
        </w:tc>
        <w:tc>
          <w:tcPr>
            <w:tcW w:type="dxa" w:w="1728"/>
          </w:tcPr>
          <w:p>
            <w:r>
              <w:rPr>
                <w:rFonts w:ascii="Calibri" w:hAnsi="Calibri"/>
                <w:b/>
                <w:color w:val="30A46C"/>
                <w:sz w:val="22"/>
              </w:rPr>
              <w:t>+400 bps</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SHO NOI growth beats have been large when they occur (+330–430 bps), but the metric has missed consensus in 3 of the last 8 quarters — suggesting the street periodically over-estimates the pace of NOI acceleration. The Q1 2026 beat of +400 bps was the largest in recent history, raising the bar for Q2.</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normalized FFO guidance by $0.11 at the midpoint on the Q1 call — the most significant post-earnings guidance revision — and tone remains unambiguously bullish, with no subsequent downward revisions or cautionary signals since April 28.</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Normalized FFO/Share</w:t>
            </w:r>
          </w:p>
        </w:tc>
        <w:tc>
          <w:tcPr>
            <w:tcW w:type="dxa" w:w="1728"/>
          </w:tcPr>
          <w:p>
            <w:r>
              <w:rPr>
                <w:rFonts w:ascii="Calibri" w:hAnsi="Calibri"/>
                <w:sz w:val="22"/>
              </w:rPr>
              <w:t>$6.21–$6.35 ($6.28 mid); raised $0.11 vs. prior range</w:t>
            </w:r>
          </w:p>
        </w:tc>
        <w:tc>
          <w:tcPr>
            <w:tcW w:type="dxa" w:w="1728"/>
          </w:tcPr>
          <w:p>
            <w:r>
              <w:rPr>
                <w:rFonts w:ascii="Calibri" w:hAnsi="Calibri"/>
                <w:sz w:val="22"/>
              </w:rPr>
              <w:t>—</w:t>
            </w:r>
          </w:p>
        </w:tc>
        <w:tc>
          <w:tcPr>
            <w:tcW w:type="dxa" w:w="1728"/>
          </w:tcPr>
          <w:p>
            <w:r>
              <w:rPr>
                <w:rFonts w:ascii="Calibri" w:hAnsi="Calibri"/>
                <w:sz w:val="22"/>
              </w:rPr>
              <w:t>$6.298</w:t>
            </w:r>
          </w:p>
        </w:tc>
        <w:tc>
          <w:tcPr>
            <w:tcW w:type="dxa" w:w="1728"/>
          </w:tcPr>
          <w:p>
            <w:r>
              <w:rPr>
                <w:rFonts w:ascii="Calibri" w:hAnsi="Calibri"/>
                <w:sz w:val="22"/>
              </w:rPr>
              <w:t>↑ Raised at Q1 earnings; consensus tracking just above midpoint; no post-earnings revision</w:t>
            </w:r>
          </w:p>
        </w:tc>
      </w:tr>
      <w:tr>
        <w:tc>
          <w:tcPr>
            <w:tcW w:type="dxa" w:w="1728"/>
          </w:tcPr>
          <w:p>
            <w:r>
              <w:rPr>
                <w:rFonts w:ascii="Calibri" w:hAnsi="Calibri"/>
                <w:sz w:val="22"/>
              </w:rPr>
              <w:t>FY 2026 SHO SS NOI Growth</w:t>
            </w:r>
          </w:p>
        </w:tc>
        <w:tc>
          <w:tcPr>
            <w:tcW w:type="dxa" w:w="1728"/>
          </w:tcPr>
          <w:p>
            <w:r>
              <w:rPr>
                <w:rFonts w:ascii="Calibri" w:hAnsi="Calibri"/>
                <w:sz w:val="22"/>
              </w:rPr>
              <w:t>16.5%–21.5% (19% mid)</w:t>
            </w:r>
          </w:p>
        </w:tc>
        <w:tc>
          <w:tcPr>
            <w:tcW w:type="dxa" w:w="1728"/>
          </w:tcPr>
          <w:p>
            <w:r>
              <w:rPr>
                <w:rFonts w:ascii="Calibri" w:hAnsi="Calibri"/>
                <w:sz w:val="22"/>
              </w:rPr>
              <w:t>—</w:t>
            </w:r>
          </w:p>
        </w:tc>
        <w:tc>
          <w:tcPr>
            <w:tcW w:type="dxa" w:w="1728"/>
          </w:tcPr>
          <w:p>
            <w:r>
              <w:rPr>
                <w:rFonts w:ascii="Calibri" w:hAnsi="Calibri"/>
                <w:sz w:val="22"/>
              </w:rPr>
              <w:t>~21.1%</w:t>
            </w:r>
          </w:p>
        </w:tc>
        <w:tc>
          <w:tcPr>
            <w:tcW w:type="dxa" w:w="1728"/>
          </w:tcPr>
          <w:p>
            <w:r>
              <w:rPr>
                <w:rFonts w:ascii="Calibri" w:hAnsi="Calibri"/>
                <w:sz w:val="22"/>
              </w:rPr>
              <w:t>Consensus near top of range; reflects strong Q1 beat and occupancy momentum</w:t>
            </w:r>
          </w:p>
        </w:tc>
      </w:tr>
      <w:tr>
        <w:tc>
          <w:tcPr>
            <w:tcW w:type="dxa" w:w="1728"/>
          </w:tcPr>
          <w:p>
            <w:r>
              <w:rPr>
                <w:rFonts w:ascii="Calibri" w:hAnsi="Calibri"/>
                <w:sz w:val="22"/>
              </w:rPr>
              <w:t>FY 2026 Total Portfolio SS NOI Growth</w:t>
            </w:r>
          </w:p>
        </w:tc>
        <w:tc>
          <w:tcPr>
            <w:tcW w:type="dxa" w:w="1728"/>
          </w:tcPr>
          <w:p>
            <w:r>
              <w:rPr>
                <w:rFonts w:ascii="Calibri" w:hAnsi="Calibri"/>
                <w:sz w:val="22"/>
              </w:rPr>
              <w:t>12.25%–16.0% (14.1% mid)</w:t>
            </w:r>
          </w:p>
        </w:tc>
        <w:tc>
          <w:tcPr>
            <w:tcW w:type="dxa" w:w="1728"/>
          </w:tcPr>
          <w:p>
            <w:r>
              <w:rPr>
                <w:rFonts w:ascii="Calibri" w:hAnsi="Calibri"/>
                <w:sz w:val="22"/>
              </w:rPr>
              <w:t>—</w:t>
            </w:r>
          </w:p>
        </w:tc>
        <w:tc>
          <w:tcPr>
            <w:tcW w:type="dxa" w:w="1728"/>
          </w:tcPr>
          <w:p>
            <w:r>
              <w:rPr>
                <w:rFonts w:ascii="Calibri" w:hAnsi="Calibri"/>
                <w:sz w:val="22"/>
              </w:rPr>
              <w:t>~16.4%</w:t>
            </w:r>
          </w:p>
        </w:tc>
        <w:tc>
          <w:tcPr>
            <w:tcW w:type="dxa" w:w="1728"/>
          </w:tcPr>
          <w:p>
            <w:r>
              <w:rPr>
                <w:rFonts w:ascii="Calibri" w:hAnsi="Calibri"/>
                <w:sz w:val="22"/>
              </w:rPr>
              <w:t>Consensus at top of range; driven by SHO mix shift (now 74% of SS NOI)</w:t>
            </w:r>
          </w:p>
        </w:tc>
      </w:tr>
      <w:tr>
        <w:tc>
          <w:tcPr>
            <w:tcW w:type="dxa" w:w="1728"/>
          </w:tcPr>
          <w:p>
            <w:r>
              <w:rPr>
                <w:rFonts w:ascii="Calibri" w:hAnsi="Calibri"/>
                <w:sz w:val="22"/>
              </w:rPr>
              <w:t>FY 2026 SHO RevPOR Growth</w:t>
            </w:r>
          </w:p>
        </w:tc>
        <w:tc>
          <w:tcPr>
            <w:tcW w:type="dxa" w:w="1728"/>
          </w:tcPr>
          <w:p>
            <w:r>
              <w:rPr>
                <w:rFonts w:ascii="Calibri" w:hAnsi="Calibri"/>
                <w:sz w:val="22"/>
              </w:rPr>
              <w:t>~5.0% (FY mid)</w:t>
            </w:r>
          </w:p>
        </w:tc>
        <w:tc>
          <w:tcPr>
            <w:tcW w:type="dxa" w:w="1728"/>
          </w:tcPr>
          <w:p>
            <w:r>
              <w:rPr>
                <w:rFonts w:ascii="Calibri" w:hAnsi="Calibri"/>
                <w:sz w:val="22"/>
              </w:rPr>
              <w:t>—</w:t>
            </w:r>
          </w:p>
        </w:tc>
        <w:tc>
          <w:tcPr>
            <w:tcW w:type="dxa" w:w="1728"/>
          </w:tcPr>
          <w:p>
            <w:r>
              <w:rPr>
                <w:rFonts w:ascii="Calibri" w:hAnsi="Calibri"/>
                <w:sz w:val="22"/>
              </w:rPr>
              <w:t>~5.3%</w:t>
            </w:r>
          </w:p>
        </w:tc>
        <w:tc>
          <w:tcPr>
            <w:tcW w:type="dxa" w:w="1728"/>
          </w:tcPr>
          <w:p>
            <w:r>
              <w:rPr>
                <w:rFonts w:ascii="Calibri" w:hAnsi="Calibri"/>
                <w:sz w:val="22"/>
              </w:rPr>
              <w:t>Consensus slightly above guidance mid; pricing power tracking well</w:t>
            </w:r>
          </w:p>
        </w:tc>
      </w:tr>
      <w:tr>
        <w:tc>
          <w:tcPr>
            <w:tcW w:type="dxa" w:w="1728"/>
          </w:tcPr>
          <w:p>
            <w:r>
              <w:rPr>
                <w:rFonts w:ascii="Calibri" w:hAnsi="Calibri"/>
                <w:sz w:val="22"/>
              </w:rPr>
              <w:t>FY 2026 SHO Occupancy Growth (YoY bps)</w:t>
            </w:r>
          </w:p>
        </w:tc>
        <w:tc>
          <w:tcPr>
            <w:tcW w:type="dxa" w:w="1728"/>
          </w:tcPr>
          <w:p>
            <w:r>
              <w:rPr>
                <w:rFonts w:ascii="Calibri" w:hAnsi="Calibri"/>
                <w:sz w:val="22"/>
              </w:rPr>
              <w:t>+350 bps YoY (FY mid)</w:t>
            </w:r>
          </w:p>
        </w:tc>
        <w:tc>
          <w:tcPr>
            <w:tcW w:type="dxa" w:w="1728"/>
          </w:tcPr>
          <w:p>
            <w:r>
              <w:rPr>
                <w:rFonts w:ascii="Calibri" w:hAnsi="Calibri"/>
                <w:sz w:val="22"/>
              </w:rPr>
              <w:t>—</w:t>
            </w:r>
          </w:p>
        </w:tc>
        <w:tc>
          <w:tcPr>
            <w:tcW w:type="dxa" w:w="1728"/>
          </w:tcPr>
          <w:p>
            <w:r>
              <w:rPr>
                <w:rFonts w:ascii="Calibri" w:hAnsi="Calibri"/>
                <w:sz w:val="22"/>
              </w:rPr>
              <w:t>~+380 bps (FY cons.)</w:t>
            </w:r>
          </w:p>
        </w:tc>
        <w:tc>
          <w:tcPr>
            <w:tcW w:type="dxa" w:w="1728"/>
          </w:tcPr>
          <w:p>
            <w:r>
              <w:rPr>
                <w:rFonts w:ascii="Calibri" w:hAnsi="Calibri"/>
                <w:sz w:val="22"/>
              </w:rPr>
              <w:t>Consensus slightly above guidance; Q2 selling season is the key test</w:t>
            </w:r>
          </w:p>
        </w:tc>
      </w:tr>
      <w:tr>
        <w:tc>
          <w:tcPr>
            <w:tcW w:type="dxa" w:w="1728"/>
          </w:tcPr>
          <w:p>
            <w:r>
              <w:rPr>
                <w:rFonts w:ascii="Calibri" w:hAnsi="Calibri"/>
                <w:sz w:val="22"/>
              </w:rPr>
              <w:t>FY 2026 SHO ExpPOR Growth</w:t>
            </w:r>
          </w:p>
        </w:tc>
        <w:tc>
          <w:tcPr>
            <w:tcW w:type="dxa" w:w="1728"/>
          </w:tcPr>
          <w:p>
            <w:r>
              <w:rPr>
                <w:rFonts w:ascii="Calibri" w:hAnsi="Calibri"/>
                <w:sz w:val="22"/>
              </w:rPr>
              <w:t>~1.3% (FY mid)</w:t>
            </w:r>
          </w:p>
        </w:tc>
        <w:tc>
          <w:tcPr>
            <w:tcW w:type="dxa" w:w="1728"/>
          </w:tcPr>
          <w:p>
            <w:r>
              <w:rPr>
                <w:rFonts w:ascii="Calibri" w:hAnsi="Calibri"/>
                <w:sz w:val="22"/>
              </w:rPr>
              <w:t>—</w:t>
            </w:r>
          </w:p>
        </w:tc>
        <w:tc>
          <w:tcPr>
            <w:tcW w:type="dxa" w:w="1728"/>
          </w:tcPr>
          <w:p>
            <w:r>
              <w:rPr>
                <w:rFonts w:ascii="Calibri" w:hAnsi="Calibri"/>
                <w:sz w:val="22"/>
              </w:rPr>
              <w:t>~4.7% (SS expense growth)</w:t>
            </w:r>
          </w:p>
        </w:tc>
        <w:tc>
          <w:tcPr>
            <w:tcW w:type="dxa" w:w="1728"/>
          </w:tcPr>
          <w:p>
            <w:r>
              <w:rPr>
                <w:rFonts w:ascii="Calibri" w:hAnsi="Calibri"/>
                <w:sz w:val="22"/>
              </w:rPr>
              <w:t>Expense growth well-controlled; Q1 CompPOR +20 bps was near record low</w:t>
            </w:r>
          </w:p>
        </w:tc>
      </w:tr>
      <w:tr>
        <w:tc>
          <w:tcPr>
            <w:tcW w:type="dxa" w:w="1728"/>
          </w:tcPr>
          <w:p>
            <w:r>
              <w:rPr>
                <w:rFonts w:ascii="Calibri" w:hAnsi="Calibri"/>
                <w:sz w:val="22"/>
              </w:rPr>
              <w:t>FY 2026 Net Income/Share</w:t>
            </w:r>
          </w:p>
        </w:tc>
        <w:tc>
          <w:tcPr>
            <w:tcW w:type="dxa" w:w="1728"/>
          </w:tcPr>
          <w:p>
            <w:r>
              <w:rPr>
                <w:rFonts w:ascii="Calibri" w:hAnsi="Calibri"/>
                <w:sz w:val="22"/>
              </w:rPr>
              <w:t>$3.24–$3.38/share</w:t>
            </w:r>
          </w:p>
        </w:tc>
        <w:tc>
          <w:tcPr>
            <w:tcW w:type="dxa" w:w="1728"/>
          </w:tcPr>
          <w:p>
            <w:r>
              <w:rPr>
                <w:rFonts w:ascii="Calibri" w:hAnsi="Calibri"/>
                <w:sz w:val="22"/>
              </w:rPr>
              <w:t>—</w:t>
            </w:r>
          </w:p>
        </w:tc>
        <w:tc>
          <w:tcPr>
            <w:tcW w:type="dxa" w:w="1728"/>
          </w:tcPr>
          <w:p>
            <w:r>
              <w:rPr>
                <w:rFonts w:ascii="Calibri" w:hAnsi="Calibri"/>
                <w:sz w:val="22"/>
              </w:rPr>
              <w:t>N/A — not primary metric</w:t>
            </w:r>
          </w:p>
        </w:tc>
        <w:tc>
          <w:tcPr>
            <w:tcW w:type="dxa" w:w="1728"/>
          </w:tcPr>
          <w:p>
            <w:r>
              <w:rPr>
                <w:rFonts w:ascii="Calibri" w:hAnsi="Calibri"/>
                <w:sz w:val="22"/>
              </w:rPr>
              <w:t>Raised alongside FFO guidance at Q1 earnings</w:t>
            </w:r>
          </w:p>
        </w:tc>
      </w:tr>
    </w:tbl>
    <w:p>
      <w:r>
        <w:rPr>
          <w:rFonts w:ascii="Calibri" w:hAnsi="Calibri"/>
          <w:color w:val="525866"/>
          <w:sz w:val="22"/>
        </w:rPr>
        <w:t xml:space="preserve">Management tone on the Q1 2026 call was the most bullish in recent memory. Key directional signals: (1) </w:t>
      </w:r>
      <w:r>
        <w:rPr>
          <w:rFonts w:ascii="Calibri" w:hAnsi="Calibri"/>
          <w:b/>
          <w:color w:val="525866"/>
          <w:sz w:val="22"/>
        </w:rPr>
        <w:t>"By far the highest in our history"</w:t>
      </w:r>
      <w:r>
        <w:rPr>
          <w:rFonts w:ascii="Calibri" w:hAnsi="Calibri"/>
          <w:color w:val="525866"/>
          <w:sz w:val="22"/>
        </w:rPr>
        <w:t xml:space="preserve"> — CEO Mitra on 16.4% total portfolio SS NOI growth; (2) communities at 95%+ occupancy still generating ~20% NOI growth, demonstrating pricing power even at near-full occupancy; (3) ~45% of same-store SHOP assets still below 90% occupancy, providing "potential for years of compounding per share growth"; (4) $4.2 billion of additional Q2 transactions already closed (primarily Amica Senior Lifestyles) as of the call date; (5) C$1.15 billion Canadian dollar notes offering completed July 13, 2026, signaling continued balance sheet deployment. No cautionary language or guidance trimming has emerged since the Q1 print.</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stable-to-slightly-positive since the Q1 print — the street has not aggressively front-run the beat, leaving room for upward surprise. Consensus for Q2 FFO/share is tracking just above the implied quarterly run-rate of full-year guidance, suggesting the bar is achievable but not easy.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Norm. FFO/Share — Q2 2026</w:t>
            </w:r>
          </w:p>
        </w:tc>
        <w:tc>
          <w:tcPr>
            <w:tcW w:type="dxa" w:w="1080"/>
          </w:tcPr>
          <w:p>
            <w:r>
              <w:rPr>
                <w:rFonts w:ascii="Calibri" w:hAnsi="Calibri"/>
                <w:sz w:val="22"/>
              </w:rPr>
              <w:t>$1.554</w:t>
            </w:r>
          </w:p>
        </w:tc>
        <w:tc>
          <w:tcPr>
            <w:tcW w:type="dxa" w:w="1080"/>
          </w:tcPr>
          <w:p>
            <w:r>
              <w:rPr>
                <w:rFonts w:ascii="Calibri" w:hAnsi="Calibri"/>
                <w:sz w:val="22"/>
              </w:rPr>
              <w:t>$1.547</w:t>
            </w:r>
          </w:p>
        </w:tc>
        <w:tc>
          <w:tcPr>
            <w:tcW w:type="dxa" w:w="1080"/>
          </w:tcPr>
          <w:p>
            <w:r>
              <w:rPr>
                <w:rFonts w:ascii="Calibri" w:hAnsi="Calibri"/>
                <w:sz w:val="22"/>
              </w:rPr>
              <w:t>-0.5%</w:t>
            </w:r>
          </w:p>
        </w:tc>
        <w:tc>
          <w:tcPr>
            <w:tcW w:type="dxa" w:w="1080"/>
          </w:tcPr>
          <w:p>
            <w:r>
              <w:rPr>
                <w:rFonts w:ascii="Calibri" w:hAnsi="Calibri"/>
                <w:sz w:val="22"/>
              </w:rPr>
              <w:t>Implied ~$1.55 (FY $6.28 mid / 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implied mid</w:t>
            </w:r>
          </w:p>
        </w:tc>
      </w:tr>
      <w:tr>
        <w:tc>
          <w:tcPr>
            <w:tcW w:type="dxa" w:w="1080"/>
          </w:tcPr>
          <w:p>
            <w:r>
              <w:rPr>
                <w:rFonts w:ascii="Calibri" w:hAnsi="Calibri"/>
                <w:sz w:val="22"/>
              </w:rPr>
              <w:t>Norm. FFO/Share — FY 2026</w:t>
            </w:r>
          </w:p>
        </w:tc>
        <w:tc>
          <w:tcPr>
            <w:tcW w:type="dxa" w:w="1080"/>
          </w:tcPr>
          <w:p>
            <w:r>
              <w:rPr>
                <w:rFonts w:ascii="Calibri" w:hAnsi="Calibri"/>
                <w:sz w:val="22"/>
              </w:rPr>
              <w:t>$6.299</w:t>
            </w:r>
          </w:p>
        </w:tc>
        <w:tc>
          <w:tcPr>
            <w:tcW w:type="dxa" w:w="1080"/>
          </w:tcPr>
          <w:p>
            <w:r>
              <w:rPr>
                <w:rFonts w:ascii="Calibri" w:hAnsi="Calibri"/>
                <w:sz w:val="22"/>
              </w:rPr>
              <w:t>$6.298</w:t>
            </w:r>
          </w:p>
        </w:tc>
        <w:tc>
          <w:tcPr>
            <w:tcW w:type="dxa" w:w="1080"/>
          </w:tcPr>
          <w:p>
            <w:r>
              <w:rPr>
                <w:rFonts w:ascii="Calibri" w:hAnsi="Calibri"/>
                <w:sz w:val="22"/>
              </w:rPr>
              <w:t>~0.0%</w:t>
            </w:r>
          </w:p>
        </w:tc>
        <w:tc>
          <w:tcPr>
            <w:tcW w:type="dxa" w:w="1080"/>
          </w:tcPr>
          <w:p>
            <w:r>
              <w:rPr>
                <w:rFonts w:ascii="Calibri" w:hAnsi="Calibri"/>
                <w:sz w:val="22"/>
              </w:rPr>
              <w:t>$6.21–$6.35 ($6.28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w:t>
            </w:r>
          </w:p>
        </w:tc>
      </w:tr>
      <w:tr>
        <w:tc>
          <w:tcPr>
            <w:tcW w:type="dxa" w:w="1080"/>
          </w:tcPr>
          <w:p>
            <w:r>
              <w:rPr>
                <w:rFonts w:ascii="Calibri" w:hAnsi="Calibri"/>
                <w:sz w:val="22"/>
              </w:rPr>
              <w:t>SHO SS NOI Growth — Q2 2026</w:t>
            </w:r>
          </w:p>
        </w:tc>
        <w:tc>
          <w:tcPr>
            <w:tcW w:type="dxa" w:w="1080"/>
          </w:tcPr>
          <w:p>
            <w:r>
              <w:rPr>
                <w:rFonts w:ascii="Calibri" w:hAnsi="Calibri"/>
                <w:sz w:val="22"/>
              </w:rPr>
              <w:t>~21.5%</w:t>
            </w:r>
          </w:p>
        </w:tc>
        <w:tc>
          <w:tcPr>
            <w:tcW w:type="dxa" w:w="1080"/>
          </w:tcPr>
          <w:p>
            <w:r>
              <w:rPr>
                <w:rFonts w:ascii="Calibri" w:hAnsi="Calibri"/>
                <w:sz w:val="22"/>
              </w:rPr>
              <w:t>~20.7%</w:t>
            </w:r>
          </w:p>
        </w:tc>
        <w:tc>
          <w:tcPr>
            <w:tcW w:type="dxa" w:w="1080"/>
          </w:tcPr>
          <w:p>
            <w:r>
              <w:rPr>
                <w:rFonts w:ascii="Calibri" w:hAnsi="Calibri"/>
                <w:sz w:val="22"/>
              </w:rPr>
              <w:t>-80 bps</w:t>
            </w:r>
          </w:p>
        </w:tc>
        <w:tc>
          <w:tcPr>
            <w:tcW w:type="dxa" w:w="1080"/>
          </w:tcPr>
          <w:p>
            <w:r>
              <w:rPr>
                <w:rFonts w:ascii="Calibri" w:hAnsi="Calibri"/>
                <w:sz w:val="22"/>
              </w:rPr>
              <w:t>16.5%–21.5% (19%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+170 bps vs. mid</w:t>
            </w:r>
          </w:p>
        </w:tc>
      </w:tr>
      <w:tr>
        <w:tc>
          <w:tcPr>
            <w:tcW w:type="dxa" w:w="1080"/>
          </w:tcPr>
          <w:p>
            <w:r>
              <w:rPr>
                <w:rFonts w:ascii="Calibri" w:hAnsi="Calibri"/>
                <w:sz w:val="22"/>
              </w:rPr>
              <w:t>SHO SS NOI Growth — FY 2026</w:t>
            </w:r>
          </w:p>
        </w:tc>
        <w:tc>
          <w:tcPr>
            <w:tcW w:type="dxa" w:w="1080"/>
          </w:tcPr>
          <w:p>
            <w:r>
              <w:rPr>
                <w:rFonts w:ascii="Calibri" w:hAnsi="Calibri"/>
                <w:sz w:val="22"/>
              </w:rPr>
              <w:t>~21.5%</w:t>
            </w:r>
          </w:p>
        </w:tc>
        <w:tc>
          <w:tcPr>
            <w:tcW w:type="dxa" w:w="1080"/>
          </w:tcPr>
          <w:p>
            <w:r>
              <w:rPr>
                <w:rFonts w:ascii="Calibri" w:hAnsi="Calibri"/>
                <w:sz w:val="22"/>
              </w:rPr>
              <w:t>~21.1%</w:t>
            </w:r>
          </w:p>
        </w:tc>
        <w:tc>
          <w:tcPr>
            <w:tcW w:type="dxa" w:w="1080"/>
          </w:tcPr>
          <w:p>
            <w:r>
              <w:rPr>
                <w:rFonts w:ascii="Calibri" w:hAnsi="Calibri"/>
                <w:sz w:val="22"/>
              </w:rPr>
              <w:t>-40 bps</w:t>
            </w:r>
          </w:p>
        </w:tc>
        <w:tc>
          <w:tcPr>
            <w:tcW w:type="dxa" w:w="1080"/>
          </w:tcPr>
          <w:p>
            <w:r>
              <w:rPr>
                <w:rFonts w:ascii="Calibri" w:hAnsi="Calibri"/>
                <w:sz w:val="22"/>
              </w:rPr>
              <w:t>16.5%–21.5% (19%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+210 bps vs. mid</w:t>
            </w:r>
          </w:p>
        </w:tc>
      </w:tr>
      <w:tr>
        <w:tc>
          <w:tcPr>
            <w:tcW w:type="dxa" w:w="1080"/>
          </w:tcPr>
          <w:p>
            <w:r>
              <w:rPr>
                <w:rFonts w:ascii="Calibri" w:hAnsi="Calibri"/>
                <w:sz w:val="22"/>
              </w:rPr>
              <w:t>SHO Occupancy — Q2 2026</w:t>
            </w:r>
          </w:p>
        </w:tc>
        <w:tc>
          <w:tcPr>
            <w:tcW w:type="dxa" w:w="1080"/>
          </w:tcPr>
          <w:p>
            <w:r>
              <w:rPr>
                <w:rFonts w:ascii="Calibri" w:hAnsi="Calibri"/>
                <w:sz w:val="22"/>
              </w:rPr>
              <w:t>~88.4%</w:t>
            </w:r>
          </w:p>
        </w:tc>
        <w:tc>
          <w:tcPr>
            <w:tcW w:type="dxa" w:w="1080"/>
          </w:tcPr>
          <w:p>
            <w:r>
              <w:rPr>
                <w:rFonts w:ascii="Calibri" w:hAnsi="Calibri"/>
                <w:sz w:val="22"/>
              </w:rPr>
              <w:t>~88.1%</w:t>
            </w:r>
          </w:p>
        </w:tc>
        <w:tc>
          <w:tcPr>
            <w:tcW w:type="dxa" w:w="1080"/>
          </w:tcPr>
          <w:p>
            <w:r>
              <w:rPr>
                <w:rFonts w:ascii="Calibri" w:hAnsi="Calibri"/>
                <w:sz w:val="22"/>
              </w:rPr>
              <w:t>-30 bps</w:t>
            </w:r>
          </w:p>
        </w:tc>
        <w:tc>
          <w:tcPr>
            <w:tcW w:type="dxa" w:w="1080"/>
          </w:tcPr>
          <w:p>
            <w:r>
              <w:rPr>
                <w:rFonts w:ascii="Calibri" w:hAnsi="Calibri"/>
                <w:sz w:val="22"/>
              </w:rPr>
              <w:t>+350 bps YoY (FY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~-100 bps vs. FY mid</w:t>
            </w:r>
          </w:p>
        </w:tc>
      </w:tr>
      <w:tr>
        <w:tc>
          <w:tcPr>
            <w:tcW w:type="dxa" w:w="1080"/>
          </w:tcPr>
          <w:p>
            <w:r>
              <w:rPr>
                <w:rFonts w:ascii="Calibri" w:hAnsi="Calibri"/>
                <w:sz w:val="22"/>
              </w:rPr>
              <w:t>SS RevPOR Growth — Q2 2026</w:t>
            </w:r>
          </w:p>
        </w:tc>
        <w:tc>
          <w:tcPr>
            <w:tcW w:type="dxa" w:w="1080"/>
          </w:tcPr>
          <w:p>
            <w:r>
              <w:rPr>
                <w:rFonts w:ascii="Calibri" w:hAnsi="Calibri"/>
                <w:sz w:val="22"/>
              </w:rPr>
              <w:t>~5.3%</w:t>
            </w:r>
          </w:p>
        </w:tc>
        <w:tc>
          <w:tcPr>
            <w:tcW w:type="dxa" w:w="1080"/>
          </w:tcPr>
          <w:p>
            <w:r>
              <w:rPr>
                <w:rFonts w:ascii="Calibri" w:hAnsi="Calibri"/>
                <w:sz w:val="22"/>
              </w:rPr>
              <w:t>~5.4%</w:t>
            </w:r>
          </w:p>
        </w:tc>
        <w:tc>
          <w:tcPr>
            <w:tcW w:type="dxa" w:w="1080"/>
          </w:tcPr>
          <w:p>
            <w:r>
              <w:rPr>
                <w:rFonts w:ascii="Calibri" w:hAnsi="Calibri"/>
                <w:sz w:val="22"/>
              </w:rPr>
              <w:t>+10 bps</w:t>
            </w:r>
          </w:p>
        </w:tc>
        <w:tc>
          <w:tcPr>
            <w:tcW w:type="dxa" w:w="1080"/>
          </w:tcPr>
          <w:p>
            <w:r>
              <w:rPr>
                <w:rFonts w:ascii="Calibri" w:hAnsi="Calibri"/>
                <w:sz w:val="22"/>
              </w:rPr>
              <w:t>~5.0% (FY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vs. FY mid</w:t>
            </w:r>
          </w:p>
        </w:tc>
      </w:tr>
    </w:tbl>
    <w:p>
      <w:r>
        <w:rPr>
          <w:rFonts w:ascii="Calibri" w:hAnsi="Calibri"/>
          <w:color w:val="525866"/>
          <w:sz w:val="22"/>
        </w:rPr>
        <w:t>Estimates have been remarkably stable since the Q1 print — FFO/share consensus for both Q2 and FY 2026 is essentially flat vs. the post-earnings baseline, suggesting the street has absorbed the guidance raise without aggressively extrapolating further upside. The more interesting dynamic is that SHO NOI growth consensus (~20.7% for Q2) sits well above the guidance midpoint (19%), implying the street is already pricing in continued outperformance. If Q2 SHO NOI growth comes in at or above 21%, it would likely trigger another guidance raise and a fresh round of upward estimate revisions.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WELL has surged ~18% since the Q1 2026 earnings date (April 28) vs. VNQ +5% and SPY +4%, with the outperformance driven almost entirely by fundamental re-rating on record operational results and the massive Amica acquisition close — the stock has closed at all-time highs five consecutive sessions heading into the Q2 print, raising the reaction bar.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WELL vs. VNQ (REIT ETF) vs. S&amp;P 500 (SPY) — Indexed to 100 at April 28, 2026 (Last Earnings Date). Source: Yahoo Finance.</w:t>
      </w:r>
    </w:p>
    <w:p>
      <w:r>
        <w:rPr>
          <w:rFonts w:ascii="Calibri" w:hAnsi="Calibri"/>
          <w:b/>
          <w:color w:val="525866"/>
          <w:sz w:val="22"/>
        </w:rPr>
        <w:t xml:space="preserve">Performance Summary (April 28 – July 27, 2026): </w:t>
      </w:r>
      <w:r>
        <w:rPr>
          <w:rFonts w:ascii="Calibri" w:hAnsi="Calibri"/>
          <w:color w:val="525866"/>
          <w:sz w:val="22"/>
        </w:rPr>
        <w:t>WELL +17.7% | VNQ +5.4% | SPY +3.8%</w:t>
      </w:r>
    </w:p>
    <w:p>
      <w:pPr>
        <w:pStyle w:val="ListBullet"/>
        <w:ind w:left="360" w:hanging="360"/>
      </w:pPr>
      <w:r>
        <w:rPr>
          <w:rFonts w:ascii="Calibri" w:hAnsi="Calibri"/>
          <w:b/>
          <w:color w:val="525866"/>
          <w:sz w:val="22"/>
        </w:rPr>
        <w:t xml:space="preserve">April 28–30: </w:t>
      </w:r>
      <w:r>
        <w:rPr>
          <w:rFonts w:ascii="Calibri" w:hAnsi="Calibri"/>
          <w:color w:val="525866"/>
          <w:sz w:val="22"/>
        </w:rPr>
        <w:t>WELL surged ~3.4% on Q1 earnings day (April 28), driven by record 16.4% total portfolio SS NOI growth, 22.1% SHO NOI growth, and a $0.11 guidance raise at the midpoint. Stock closed at $214.23 vs. $210.00 pre-earnings.</w:t>
      </w:r>
    </w:p>
    <w:p>
      <w:pPr>
        <w:pStyle w:val="ListBullet"/>
        <w:ind w:left="360" w:hanging="360"/>
      </w:pPr>
      <w:r>
        <w:rPr>
          <w:rFonts w:ascii="Calibri" w:hAnsi="Calibri"/>
          <w:b/>
          <w:color w:val="525866"/>
          <w:sz w:val="22"/>
        </w:rPr>
        <w:t xml:space="preserve">May–early June: </w:t>
      </w:r>
      <w:r>
        <w:rPr>
          <w:rFonts w:ascii="Calibri" w:hAnsi="Calibri"/>
          <w:color w:val="525866"/>
          <w:sz w:val="22"/>
        </w:rPr>
        <w:t>Stock consolidated in the $212–$220 range as the market digested the large Amica acquisition ($4.2B closed in Q2) and its near-term dilutive impact on FFO. VNQ and SPY outperformed WELL during this period as rate expectations shifted.</w:t>
      </w:r>
    </w:p>
    <w:p>
      <w:pPr>
        <w:pStyle w:val="ListBullet"/>
        <w:ind w:left="360" w:hanging="360"/>
      </w:pPr>
      <w:r>
        <w:rPr>
          <w:rFonts w:ascii="Calibri" w:hAnsi="Calibri"/>
          <w:b/>
          <w:color w:val="525866"/>
          <w:sz w:val="22"/>
        </w:rPr>
        <w:t xml:space="preserve">June 22–July 24: </w:t>
      </w:r>
      <w:r>
        <w:rPr>
          <w:rFonts w:ascii="Calibri" w:hAnsi="Calibri"/>
          <w:color w:val="525866"/>
          <w:sz w:val="22"/>
        </w:rPr>
        <w:t>WELL broke out sharply, rallying from ~$211 to $252 (+19%) as senior housing occupancy data showed the sector crossing 89.9% nationally (20th consecutive quarterly gain), construction starts remained near historic lows (&lt;16,000 units nationwide), and the stock closed at all-time highs five consecutive sessions. The July 13 C$1.15B Canadian dollar notes offering signaled continued aggressive capital deployment.</w:t>
      </w:r>
    </w:p>
    <w:p>
      <w:pPr>
        <w:pStyle w:val="ListBullet"/>
        <w:ind w:left="360" w:hanging="360"/>
      </w:pPr>
      <w:r>
        <w:rPr>
          <w:rFonts w:ascii="Calibri" w:hAnsi="Calibri"/>
          <w:b/>
          <w:color w:val="525866"/>
          <w:sz w:val="22"/>
        </w:rPr>
        <w:t xml:space="preserve">Sector ETF: </w:t>
      </w:r>
      <w:r>
        <w:rPr>
          <w:rFonts w:ascii="Calibri" w:hAnsi="Calibri"/>
          <w:color w:val="525866"/>
          <w:sz w:val="22"/>
        </w:rPr>
        <w:t>VNQ (Vanguard Real Estate ETF) used as the sector benchmark. WELL's outperformance vs. VNQ (+12.3 percentage points) reflects the premium the market is assigning to WELL's pure-play senior housing operating model vs. the broader diversified REIT sector.</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Q1 2026 earnings calls (reported April–May 2026) delivered a uniformly bullish read-through for WELL's Q2 setup: every major senior housing REIT raised guidance, cited accelerating occupancy gains, described supply at historic lows, and flagged the May–September selling season as the key determinant of full-year outcomes — all directly supportive of WELL's 16.5%–21.5% SHO NOI growth range.</w:t>
      </w:r>
    </w:p>
    <w:p>
      <w:r>
        <w:rPr>
          <w:rFonts w:ascii="Calibri" w:hAnsi="Calibri"/>
          <w:b/>
          <w:i/>
          <w:color w:val="525866"/>
          <w:sz w:val="22"/>
        </w:rPr>
        <w:t xml:space="preserve">Note: </w:t>
      </w:r>
      <w:r>
        <w:rPr>
          <w:rFonts w:ascii="Calibri" w:hAnsi="Calibri"/>
          <w:i/>
          <w:color w:val="525866"/>
          <w:sz w:val="22"/>
        </w:rPr>
        <w:t>All peer commentary below is sourced from Q1 2026 earnings calls (reported April–May 2026) and the AHR Nareit REITweek conference (June 2, 2026). These are forward-looking commentaries about Q2 2026 and full-year 2026 conditions — not retrospective Q1 results — and therefore constitute valid read-throughs for WELL's upcoming Q2 print.</w:t>
      </w:r>
    </w:p>
    <w:p>
      <w:pPr>
        <w:pStyle w:val="Heading3"/>
      </w:pPr>
      <w:r>
        <w:rPr>
          <w:rFonts w:ascii="Calibri" w:hAnsi="Calibri"/>
          <w:b/>
          <w:color w:val="3B4259"/>
          <w:sz w:val="24"/>
        </w:rPr>
        <w:t>Ventas (VTR) — Q1 2026 Earnings Call (April 28, 2026)</w:t>
      </w:r>
    </w:p>
    <w:p>
      <w:r>
        <w:rPr>
          <w:rFonts w:ascii="Calibri" w:hAnsi="Calibri"/>
          <w:b/>
          <w:color w:val="30A46C"/>
          <w:sz w:val="22"/>
        </w:rPr>
        <w:t xml:space="preserve">Read-Through Signal: </w:t>
      </w:r>
      <w:r>
        <w:rPr>
          <w:rFonts w:ascii="Calibri" w:hAnsi="Calibri"/>
          <w:color w:val="525866"/>
          <w:sz w:val="22"/>
        </w:rPr>
        <w:t xml:space="preserve"> Strongly Positive</w:t>
      </w:r>
    </w:p>
    <w:p>
      <w:pPr>
        <w:pStyle w:val="ListBullet"/>
        <w:ind w:left="360" w:hanging="360"/>
      </w:pPr>
      <w:r>
        <w:rPr>
          <w:rFonts w:ascii="Calibri" w:hAnsi="Calibri"/>
          <w:b/>
          <w:color w:val="525866"/>
          <w:sz w:val="22"/>
        </w:rPr>
        <w:t xml:space="preserve">Occupancy inflection: </w:t>
      </w:r>
      <w:r>
        <w:rPr>
          <w:rFonts w:ascii="Calibri" w:hAnsi="Calibri"/>
          <w:color w:val="525866"/>
          <w:sz w:val="22"/>
        </w:rPr>
        <w:t xml:space="preserve">VTR raised its full-year 2026 SHOP occupancy growth guidance to ~300 bps (from 270 bps prior), citing a "strong start" to the year. US same-store occupancy reached 87% (370 bps YoY), outperforming NIC Top 99 markets by 150 bps. Management noted waitlists forming in the US for the first time, similar to existing Canadian waitlists. </w:t>
      </w:r>
      <w:r>
        <w:rPr>
          <w:rFonts w:ascii="Calibri" w:hAnsi="Calibri"/>
          <w:color w:val="525866"/>
          <w:sz w:val="22"/>
        </w:rPr>
        <w:t>Read-through: Confirms WELL's occupancy trajectory is industry-wide, not idiosyncratic.</w:t>
      </w:r>
    </w:p>
    <w:p>
      <w:pPr>
        <w:pStyle w:val="ListBullet"/>
        <w:ind w:left="360" w:hanging="360"/>
      </w:pPr>
      <w:r>
        <w:rPr>
          <w:rFonts w:ascii="Calibri" w:hAnsi="Calibri"/>
          <w:b/>
          <w:color w:val="525866"/>
          <w:sz w:val="22"/>
        </w:rPr>
        <w:t xml:space="preserve">Demographic inflection: </w:t>
      </w:r>
      <w:r>
        <w:rPr>
          <w:rFonts w:ascii="Calibri" w:hAnsi="Calibri"/>
          <w:color w:val="525866"/>
          <w:sz w:val="22"/>
        </w:rPr>
        <w:t xml:space="preserve">VTR described 2026 as a "new and positive inflection point when demographic demand jumps and grows elevated for over a decade" as the nearly 70 million baby boomers begin turning 80. The 80+ population is expected to grow nearly 30% over the next five years. </w:t>
      </w:r>
      <w:r>
        <w:rPr>
          <w:rFonts w:ascii="Calibri" w:hAnsi="Calibri"/>
          <w:color w:val="525866"/>
          <w:sz w:val="22"/>
        </w:rPr>
        <w:t>Read-through: Structural demand tailwind is accelerating, not decelerating.</w:t>
      </w:r>
    </w:p>
    <w:p>
      <w:pPr>
        <w:pStyle w:val="ListBullet"/>
        <w:ind w:left="360" w:hanging="360"/>
      </w:pPr>
      <w:r>
        <w:rPr>
          <w:rFonts w:ascii="Calibri" w:hAnsi="Calibri"/>
          <w:b/>
          <w:color w:val="525866"/>
          <w:sz w:val="22"/>
        </w:rPr>
        <w:t xml:space="preserve">Supply at historic lows: </w:t>
      </w:r>
      <w:r>
        <w:rPr>
          <w:rFonts w:ascii="Calibri" w:hAnsi="Calibri"/>
          <w:color w:val="525866"/>
          <w:sz w:val="22"/>
        </w:rPr>
        <w:t xml:space="preserve">Q1 2026 senior housing construction starts totaled only ~1,500 new units nationally, with total communities under construction at historic lows. VTR noted rents need to be "20% to 40% off" for most new developments to pencil. </w:t>
      </w:r>
      <w:r>
        <w:rPr>
          <w:rFonts w:ascii="Calibri" w:hAnsi="Calibri"/>
          <w:color w:val="525866"/>
          <w:sz w:val="22"/>
        </w:rPr>
        <w:t>Read-through: No near-term supply threat; WELL's pricing power is durable.</w:t>
      </w:r>
    </w:p>
    <w:p>
      <w:pPr>
        <w:pStyle w:val="ListBullet"/>
        <w:ind w:left="360" w:hanging="360"/>
      </w:pPr>
      <w:r>
        <w:rPr>
          <w:rFonts w:ascii="Calibri" w:hAnsi="Calibri"/>
          <w:b/>
          <w:color w:val="525866"/>
          <w:sz w:val="22"/>
        </w:rPr>
        <w:t xml:space="preserve">Pricing power: </w:t>
      </w:r>
      <w:r>
        <w:rPr>
          <w:rFonts w:ascii="Calibri" w:hAnsi="Calibri"/>
          <w:color w:val="525866"/>
          <w:sz w:val="22"/>
        </w:rPr>
        <w:t xml:space="preserve">RevPOR increased 5% YoY with in-house rate increases running at nearly 8%. Full-year revenue growth guidance raised to ~8.75%. Community fees increasing due to higher demand. </w:t>
      </w:r>
      <w:r>
        <w:rPr>
          <w:rFonts w:ascii="Calibri" w:hAnsi="Calibri"/>
          <w:color w:val="525866"/>
          <w:sz w:val="22"/>
        </w:rPr>
        <w:t>Read-through: Consistent with WELL's 5% RevPOR guidance; pricing environment remains favorable.</w:t>
      </w:r>
    </w:p>
    <w:p>
      <w:pPr>
        <w:pStyle w:val="ListBullet"/>
        <w:ind w:left="360" w:hanging="360"/>
      </w:pPr>
      <w:r>
        <w:rPr>
          <w:rFonts w:ascii="Calibri" w:hAnsi="Calibri"/>
          <w:b/>
          <w:color w:val="525866"/>
          <w:sz w:val="22"/>
        </w:rPr>
        <w:t xml:space="preserve">NOI growth raised: </w:t>
      </w:r>
      <w:r>
        <w:rPr>
          <w:rFonts w:ascii="Calibri" w:hAnsi="Calibri"/>
          <w:color w:val="525866"/>
          <w:sz w:val="22"/>
        </w:rPr>
        <w:t xml:space="preserve">VTR raised full-year SHOP SS NOI growth guidance to 16% at the midpoint (from 15%), and total company SS NOI growth to nearly 10%. Incremental margins remain ~50% and guidance assumes they stay in the 50s for the year. </w:t>
      </w:r>
      <w:r>
        <w:rPr>
          <w:rFonts w:ascii="Calibri" w:hAnsi="Calibri"/>
          <w:color w:val="525866"/>
          <w:sz w:val="22"/>
        </w:rPr>
        <w:t>Read-through: Peer raising guidance is a direct positive signal for WELL's 16.5%–21.5% SHO NOI range.</w:t>
      </w:r>
    </w:p>
    <w:p>
      <w:pPr>
        <w:pStyle w:val="ListBullet"/>
        <w:ind w:left="360" w:hanging="360"/>
      </w:pPr>
      <w:r>
        <w:rPr>
          <w:rFonts w:ascii="Calibri" w:hAnsi="Calibri"/>
          <w:b/>
          <w:color w:val="525866"/>
          <w:sz w:val="22"/>
        </w:rPr>
        <w:t xml:space="preserve">Investment activity: </w:t>
      </w:r>
      <w:r>
        <w:rPr>
          <w:rFonts w:ascii="Calibri" w:hAnsi="Calibri"/>
          <w:color w:val="525866"/>
          <w:sz w:val="22"/>
        </w:rPr>
        <w:t xml:space="preserve">VTR raised 2026 investment volume guidance to $3B (from $2.5B), with YTD completions of $1.7B at unlevered IRRs in the double-digit to mid-teens range. </w:t>
      </w:r>
      <w:r>
        <w:rPr>
          <w:rFonts w:ascii="Calibri" w:hAnsi="Calibri"/>
          <w:color w:val="525866"/>
          <w:sz w:val="22"/>
        </w:rPr>
        <w:t>Read-through: Confirms robust deal flow environment that WELL is also exploiting.</w:t>
      </w:r>
    </w:p>
    <w:p>
      <w:pPr>
        <w:pStyle w:val="Heading3"/>
      </w:pPr>
      <w:r>
        <w:rPr>
          <w:rFonts w:ascii="Calibri" w:hAnsi="Calibri"/>
          <w:b/>
          <w:color w:val="3B4259"/>
          <w:sz w:val="24"/>
        </w:rPr>
        <w:t>American Healthcare REIT (AHR) — Q1 2026 Earnings Call (May 8, 2026)</w:t>
      </w:r>
    </w:p>
    <w:p>
      <w:r>
        <w:rPr>
          <w:rFonts w:ascii="Calibri" w:hAnsi="Calibri"/>
          <w:b/>
          <w:color w:val="30A46C"/>
          <w:sz w:val="22"/>
        </w:rPr>
        <w:t xml:space="preserve">Read-Through Signal: </w:t>
      </w:r>
      <w:r>
        <w:rPr>
          <w:rFonts w:ascii="Calibri" w:hAnsi="Calibri"/>
          <w:color w:val="525866"/>
          <w:sz w:val="22"/>
        </w:rPr>
        <w:t xml:space="preserve"> Positive</w:t>
      </w:r>
    </w:p>
    <w:p>
      <w:pPr>
        <w:pStyle w:val="ListBullet"/>
        <w:ind w:left="360" w:hanging="360"/>
      </w:pPr>
      <w:r>
        <w:rPr>
          <w:rFonts w:ascii="Calibri" w:hAnsi="Calibri"/>
          <w:b/>
          <w:color w:val="525866"/>
          <w:sz w:val="22"/>
        </w:rPr>
        <w:t xml:space="preserve">Double-digit NOI growth streak: </w:t>
      </w:r>
      <w:r>
        <w:rPr>
          <w:rFonts w:ascii="Calibri" w:hAnsi="Calibri"/>
          <w:color w:val="525866"/>
          <w:sz w:val="22"/>
        </w:rPr>
        <w:t xml:space="preserve">AHR delivered total portfolio SS NOI growth of 12.1% for Q1 2026, its ninth consecutive quarter of double-digit total portfolio SS NOI growth. SHOP SS NOI grew 19.7% and ISHC (Trilogy) grew 14.5%. </w:t>
      </w:r>
      <w:r>
        <w:rPr>
          <w:rFonts w:ascii="Calibri" w:hAnsi="Calibri"/>
          <w:color w:val="525866"/>
          <w:sz w:val="22"/>
        </w:rPr>
        <w:t>Read-through: Broad-based senior housing NOI growth is not WELL-specific.</w:t>
      </w:r>
    </w:p>
    <w:p>
      <w:pPr>
        <w:pStyle w:val="ListBullet"/>
        <w:ind w:left="360" w:hanging="360"/>
      </w:pPr>
      <w:r>
        <w:rPr>
          <w:rFonts w:ascii="Calibri" w:hAnsi="Calibri"/>
          <w:b/>
          <w:color w:val="525866"/>
          <w:sz w:val="22"/>
        </w:rPr>
        <w:t xml:space="preserve">Occupancy above prior highs: </w:t>
      </w:r>
      <w:r>
        <w:rPr>
          <w:rFonts w:ascii="Calibri" w:hAnsi="Calibri"/>
          <w:color w:val="525866"/>
          <w:sz w:val="22"/>
        </w:rPr>
        <w:t xml:space="preserve">AHR noted "occupancy surpassing prior high watermarks with potential for stabilized occupancies to settle well beyond 90%." SHOP occupancy averaged 88.6% (+255 bps YoY); Trilogy at 91.2% (+220 bps YoY). </w:t>
      </w:r>
      <w:r>
        <w:rPr>
          <w:rFonts w:ascii="Calibri" w:hAnsi="Calibri"/>
          <w:color w:val="525866"/>
          <w:sz w:val="22"/>
        </w:rPr>
        <w:t>Read-through: Industry occupancy trajectory supports WELL's 350 bps YoY occupancy growth assumption.</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AHR raised full-year 2026 SS NOI growth guidance to 9%–12% (from prior range), and NFFO/share guidance to $2.03–$2.09 (+$0.04 at midpoint), implying 20% growth over 2025. </w:t>
      </w:r>
      <w:r>
        <w:rPr>
          <w:rFonts w:ascii="Calibri" w:hAnsi="Calibri"/>
          <w:color w:val="525866"/>
          <w:sz w:val="22"/>
        </w:rPr>
        <w:t>Read-through: Peer guidance raises across the board validate WELL's own raised guidance.</w:t>
      </w:r>
    </w:p>
    <w:p>
      <w:pPr>
        <w:pStyle w:val="ListBullet"/>
        <w:ind w:left="360" w:hanging="360"/>
      </w:pPr>
      <w:r>
        <w:rPr>
          <w:rFonts w:ascii="Calibri" w:hAnsi="Calibri"/>
          <w:b/>
          <w:color w:val="525866"/>
          <w:sz w:val="22"/>
        </w:rPr>
        <w:t xml:space="preserve">Supply constraints confirmed: </w:t>
      </w:r>
      <w:r>
        <w:rPr>
          <w:rFonts w:ascii="Calibri" w:hAnsi="Calibri"/>
          <w:color w:val="525866"/>
          <w:sz w:val="22"/>
        </w:rPr>
        <w:t xml:space="preserve">"New supply growth across senior housing remains near historic lows. The economics of new construction don't pencil for most developers today, and that dynamic hasn't changed recently." AHR noted they are "still buying at below replacement costs." </w:t>
      </w:r>
      <w:r>
        <w:rPr>
          <w:rFonts w:ascii="Calibri" w:hAnsi="Calibri"/>
          <w:color w:val="525866"/>
          <w:sz w:val="22"/>
        </w:rPr>
        <w:t>Read-through: Supply constraint is structural, not cyclical.</w:t>
      </w:r>
    </w:p>
    <w:p>
      <w:pPr>
        <w:pStyle w:val="ListBullet"/>
        <w:ind w:left="360" w:hanging="360"/>
      </w:pPr>
      <w:r>
        <w:rPr>
          <w:rFonts w:ascii="Calibri" w:hAnsi="Calibri"/>
          <w:b/>
          <w:color w:val="525866"/>
          <w:sz w:val="22"/>
        </w:rPr>
        <w:t xml:space="preserve">Expense management: </w:t>
      </w:r>
      <w:r>
        <w:rPr>
          <w:rFonts w:ascii="Calibri" w:hAnsi="Calibri"/>
          <w:color w:val="525866"/>
          <w:sz w:val="22"/>
        </w:rPr>
        <w:t xml:space="preserve">AHR highlighted broad focus on expense management, with referral fees reduced by over 20% YoY. Management noted "significant investments last year" are now translating into margin expansion. </w:t>
      </w:r>
      <w:r>
        <w:rPr>
          <w:rFonts w:ascii="Calibri" w:hAnsi="Calibri"/>
          <w:color w:val="525866"/>
          <w:sz w:val="22"/>
        </w:rPr>
        <w:t>Read-through: Expense discipline is achievable across the sector, supporting WELL's ~1.3% ExpPOR growth guidance.</w:t>
      </w:r>
    </w:p>
    <w:p>
      <w:pPr>
        <w:pStyle w:val="Heading3"/>
      </w:pPr>
      <w:r>
        <w:rPr>
          <w:rFonts w:ascii="Calibri" w:hAnsi="Calibri"/>
          <w:b/>
          <w:color w:val="3B4259"/>
          <w:sz w:val="24"/>
        </w:rPr>
        <w:t>AHR — Nareit REITweek Investor Conference (June 2, 2026)</w:t>
      </w:r>
    </w:p>
    <w:p>
      <w:r>
        <w:rPr>
          <w:rFonts w:ascii="Calibri" w:hAnsi="Calibri"/>
          <w:b/>
          <w:color w:val="30A46C"/>
          <w:sz w:val="22"/>
        </w:rPr>
        <w:t xml:space="preserve">Read-Through Signal: </w:t>
      </w:r>
      <w:r>
        <w:rPr>
          <w:rFonts w:ascii="Calibri" w:hAnsi="Calibri"/>
          <w:color w:val="525866"/>
          <w:sz w:val="22"/>
        </w:rPr>
        <w:t xml:space="preserve"> Positive (Forward-Looking, Q2 2026 Context)</w:t>
      </w:r>
    </w:p>
    <w:p>
      <w:pPr>
        <w:pStyle w:val="ListBullet"/>
        <w:ind w:left="360" w:hanging="360"/>
      </w:pPr>
      <w:r>
        <w:rPr>
          <w:rFonts w:ascii="Calibri" w:hAnsi="Calibri"/>
          <w:b/>
          <w:color w:val="525866"/>
          <w:sz w:val="22"/>
        </w:rPr>
        <w:t xml:space="preserve">Q2 and 2027 NOI growth confidence: </w:t>
      </w:r>
      <w:r>
        <w:rPr>
          <w:rFonts w:ascii="Calibri" w:hAnsi="Calibri"/>
          <w:color w:val="525866"/>
          <w:sz w:val="22"/>
        </w:rPr>
        <w:t xml:space="preserve">AHR CFO Brian Pay explicitly stated: "The shop portfolio has tremendous growth embedded in it. What you'll see is very nice same-store NOI growth in 2026. And you'll see very nice same-store NOI growth in 2027." </w:t>
      </w:r>
      <w:r>
        <w:rPr>
          <w:rFonts w:ascii="Calibri" w:hAnsi="Calibri"/>
          <w:color w:val="525866"/>
          <w:sz w:val="22"/>
        </w:rPr>
        <w:t>Read-through: Peer management expressing high confidence in Q2 and beyond directly supports WELL's guidance range.</w:t>
      </w:r>
    </w:p>
    <w:p>
      <w:pPr>
        <w:pStyle w:val="ListBullet"/>
        <w:ind w:left="360" w:hanging="360"/>
      </w:pPr>
      <w:r>
        <w:rPr>
          <w:rFonts w:ascii="Calibri" w:hAnsi="Calibri"/>
          <w:b/>
          <w:color w:val="525866"/>
          <w:sz w:val="22"/>
        </w:rPr>
        <w:t xml:space="preserve">Needs-based demand resilience: </w:t>
      </w:r>
      <w:r>
        <w:rPr>
          <w:rFonts w:ascii="Calibri" w:hAnsi="Calibri"/>
          <w:color w:val="525866"/>
          <w:sz w:val="22"/>
        </w:rPr>
        <w:t xml:space="preserve">Management emphasized the "needs-based" nature of assisted living and skilled nursing demand — "You need the care. You can't delay this and wait another five years to see how the housing market recovers." Described as a "multi-year setup for continued outsized growth." </w:t>
      </w:r>
      <w:r>
        <w:rPr>
          <w:rFonts w:ascii="Calibri" w:hAnsi="Calibri"/>
          <w:color w:val="525866"/>
          <w:sz w:val="22"/>
        </w:rPr>
        <w:t>Read-through: Demand is not rate-sensitive or macro-dependent, reducing downside risk for WELL.</w:t>
      </w:r>
    </w:p>
    <w:p>
      <w:pPr>
        <w:pStyle w:val="ListBullet"/>
        <w:ind w:left="360" w:hanging="360"/>
      </w:pPr>
      <w:r>
        <w:rPr>
          <w:rFonts w:ascii="Calibri" w:hAnsi="Calibri"/>
          <w:b/>
          <w:color w:val="525866"/>
          <w:sz w:val="22"/>
        </w:rPr>
        <w:t xml:space="preserve">Revenue management as next growth driver: </w:t>
      </w:r>
      <w:r>
        <w:rPr>
          <w:rFonts w:ascii="Calibri" w:hAnsi="Calibri"/>
          <w:color w:val="525866"/>
          <w:sz w:val="22"/>
        </w:rPr>
        <w:t xml:space="preserve">As occupancy approaches functional full, operators are shifting to dynamic pricing and revenue management tools. Trilogy's proprietary pricing software adjusts rates daily based on unit attributes, market occupancy, and time-on-market. </w:t>
      </w:r>
      <w:r>
        <w:rPr>
          <w:rFonts w:ascii="Calibri" w:hAnsi="Calibri"/>
          <w:color w:val="525866"/>
          <w:sz w:val="22"/>
        </w:rPr>
        <w:t>Read-through: Consistent with WELL's Welltower Business System (WBS) thesis — technology-driven margin expansion has multi-year runway.</w:t>
      </w:r>
    </w:p>
    <w:p>
      <w:pPr>
        <w:pStyle w:val="ListBullet"/>
        <w:ind w:left="360" w:hanging="360"/>
      </w:pPr>
      <w:r>
        <w:rPr>
          <w:rFonts w:ascii="Calibri" w:hAnsi="Calibri"/>
          <w:b/>
          <w:color w:val="525866"/>
          <w:sz w:val="22"/>
        </w:rPr>
        <w:t xml:space="preserve">Skilled nursing supply: </w:t>
      </w:r>
      <w:r>
        <w:rPr>
          <w:rFonts w:ascii="Calibri" w:hAnsi="Calibri"/>
          <w:color w:val="525866"/>
          <w:sz w:val="22"/>
        </w:rPr>
        <w:t xml:space="preserve">"Skilled nursing development is nonexistent, and actually the number of skilled nursing units online in America decreases every quarter." </w:t>
      </w:r>
      <w:r>
        <w:rPr>
          <w:rFonts w:ascii="Calibri" w:hAnsi="Calibri"/>
          <w:color w:val="525866"/>
          <w:sz w:val="22"/>
        </w:rPr>
        <w:t>Read-through: Positive for WELL's LT/PA care and triple-net segments.</w:t>
      </w:r>
    </w:p>
    <w:p>
      <w:pPr>
        <w:pStyle w:val="Heading3"/>
      </w:pPr>
      <w:r>
        <w:rPr>
          <w:rFonts w:ascii="Calibri" w:hAnsi="Calibri"/>
          <w:b/>
          <w:color w:val="3B4259"/>
          <w:sz w:val="24"/>
        </w:rPr>
        <w:t>Sabra Healthcare REIT (SBRA) — Q1 2026 Earnings Call (April 30, 2026)</w:t>
      </w:r>
    </w:p>
    <w:p>
      <w:r>
        <w:rPr>
          <w:rFonts w:ascii="Calibri" w:hAnsi="Calibri"/>
          <w:b/>
          <w:color w:val="30A46C"/>
          <w:sz w:val="22"/>
        </w:rPr>
        <w:t xml:space="preserve">Read-Through Signal: </w:t>
      </w:r>
      <w:r>
        <w:rPr>
          <w:rFonts w:ascii="Calibri" w:hAnsi="Calibri"/>
          <w:color w:val="525866"/>
          <w:sz w:val="22"/>
        </w:rPr>
        <w:t xml:space="preserve"> Moderately Positive</w:t>
      </w:r>
    </w:p>
    <w:p>
      <w:pPr>
        <w:pStyle w:val="ListBullet"/>
        <w:ind w:left="360" w:hanging="360"/>
      </w:pPr>
      <w:r>
        <w:rPr>
          <w:rFonts w:ascii="Calibri" w:hAnsi="Calibri"/>
          <w:b/>
          <w:color w:val="525866"/>
          <w:sz w:val="22"/>
        </w:rPr>
        <w:t xml:space="preserve">Expense discipline: </w:t>
      </w:r>
      <w:r>
        <w:rPr>
          <w:rFonts w:ascii="Calibri" w:hAnsi="Calibri"/>
          <w:color w:val="525866"/>
          <w:sz w:val="22"/>
        </w:rPr>
        <w:t xml:space="preserve">SBRA's same-store managed senior housing portfolio posted cash NOI growth of 14.4% YoY, with expense per occupied room (exPOR) increasing only 1.8% — driven by operating leverage. Management expects exPOR to "continue at levels that low for the foreseeable future." </w:t>
      </w:r>
      <w:r>
        <w:rPr>
          <w:rFonts w:ascii="Calibri" w:hAnsi="Calibri"/>
          <w:color w:val="525866"/>
          <w:sz w:val="22"/>
        </w:rPr>
        <w:t>Read-through: Sector-wide operating leverage is real and durable, supporting WELL's ~1.3% ExpPOR growth guidance.</w:t>
      </w:r>
    </w:p>
    <w:p>
      <w:pPr>
        <w:pStyle w:val="ListBullet"/>
        <w:ind w:left="360" w:hanging="360"/>
      </w:pPr>
      <w:r>
        <w:rPr>
          <w:rFonts w:ascii="Calibri" w:hAnsi="Calibri"/>
          <w:b/>
          <w:color w:val="525866"/>
          <w:sz w:val="22"/>
        </w:rPr>
        <w:t xml:space="preserve">Occupancy: </w:t>
      </w:r>
      <w:r>
        <w:rPr>
          <w:rFonts w:ascii="Calibri" w:hAnsi="Calibri"/>
          <w:color w:val="525866"/>
          <w:sz w:val="22"/>
        </w:rPr>
        <w:t xml:space="preserve">Same-store managed senior housing occupancy was 88.4% (+280 bps YoY). Canadian portfolio at 93.4% (8th consecutive quarter above 90%), described as "almost effectively full." US portfolio saw sequential occupancy increase of 10 bps. </w:t>
      </w:r>
      <w:r>
        <w:rPr>
          <w:rFonts w:ascii="Calibri" w:hAnsi="Calibri"/>
          <w:color w:val="525866"/>
          <w:sz w:val="22"/>
        </w:rPr>
        <w:t>Read-through: Occupancy gains are broad-based across geographies.</w:t>
      </w:r>
    </w:p>
    <w:p>
      <w:pPr>
        <w:pStyle w:val="ListBullet"/>
        <w:ind w:left="360" w:hanging="360"/>
      </w:pPr>
      <w:r>
        <w:rPr>
          <w:rFonts w:ascii="Calibri" w:hAnsi="Calibri"/>
          <w:b/>
          <w:color w:val="525866"/>
          <w:sz w:val="22"/>
        </w:rPr>
        <w:t xml:space="preserve">Deal flow accelerating: </w:t>
      </w:r>
      <w:r>
        <w:rPr>
          <w:rFonts w:ascii="Calibri" w:hAnsi="Calibri"/>
          <w:color w:val="525866"/>
          <w:sz w:val="22"/>
        </w:rPr>
        <w:t xml:space="preserve">SBRA described investment deal flow as "showing no signs of slowing whatsoever. In fact, it actually feels like it's picking up speed." Year-to-date investments of ~$206M with 8% initial cash yield. </w:t>
      </w:r>
      <w:r>
        <w:rPr>
          <w:rFonts w:ascii="Calibri" w:hAnsi="Calibri"/>
          <w:color w:val="525866"/>
          <w:sz w:val="22"/>
        </w:rPr>
        <w:t>Read-through: Confirms robust acquisition environment that WELL is exploiting at scale.</w:t>
      </w:r>
    </w:p>
    <w:p>
      <w:pPr>
        <w:pStyle w:val="ListBullet"/>
        <w:ind w:left="360" w:hanging="360"/>
      </w:pPr>
      <w:r>
        <w:rPr>
          <w:rFonts w:ascii="Calibri" w:hAnsi="Calibri"/>
          <w:b/>
          <w:color w:val="525866"/>
          <w:sz w:val="22"/>
        </w:rPr>
        <w:t xml:space="preserve">Guidance reaffirmed: </w:t>
      </w:r>
      <w:r>
        <w:rPr>
          <w:rFonts w:ascii="Calibri" w:hAnsi="Calibri"/>
          <w:color w:val="525866"/>
          <w:sz w:val="22"/>
        </w:rPr>
        <w:t xml:space="preserve">SBRA reaffirmed 2026 guidance, noting "all the trends are obviously going in the right direction" and plans to reevaluate guidance at Q2 earnings. </w:t>
      </w:r>
      <w:r>
        <w:rPr>
          <w:rFonts w:ascii="Calibri" w:hAnsi="Calibri"/>
          <w:color w:val="525866"/>
          <w:sz w:val="22"/>
        </w:rPr>
        <w:t>Read-through: No negative surprises from a smaller, more granular operator-level view of the market.</w:t>
      </w:r>
    </w:p>
    <w:p>
      <w:pPr>
        <w:pStyle w:val="Heading3"/>
      </w:pPr>
      <w:r>
        <w:rPr>
          <w:rFonts w:ascii="Calibri" w:hAnsi="Calibri"/>
          <w:b/>
          <w:color w:val="3B4259"/>
          <w:sz w:val="24"/>
        </w:rPr>
        <w:t>Omega Healthcare Investors (OHI) — Q1 2026 Earnings Call (April 29, 2026)</w:t>
      </w:r>
    </w:p>
    <w:p>
      <w:r>
        <w:rPr>
          <w:rFonts w:ascii="Calibri" w:hAnsi="Calibri"/>
          <w:b/>
          <w:color w:val="525866"/>
          <w:sz w:val="22"/>
        </w:rPr>
        <w:t xml:space="preserve">Read-Through Signal: </w:t>
      </w:r>
      <w:r>
        <w:rPr>
          <w:rFonts w:ascii="Calibri" w:hAnsi="Calibri"/>
          <w:color w:val="525866"/>
          <w:sz w:val="22"/>
        </w:rPr>
        <w:t xml:space="preserve"> Neutral-to-Positive (Skilled Nursing / Triple-Net Focus)</w:t>
      </w:r>
    </w:p>
    <w:p>
      <w:pPr>
        <w:pStyle w:val="ListBullet"/>
        <w:ind w:left="360" w:hanging="360"/>
      </w:pPr>
      <w:r>
        <w:rPr>
          <w:rFonts w:ascii="Calibri" w:hAnsi="Calibri"/>
          <w:b/>
          <w:color w:val="525866"/>
          <w:sz w:val="22"/>
        </w:rPr>
        <w:t xml:space="preserve">Skilled nursing supply: </w:t>
      </w:r>
      <w:r>
        <w:rPr>
          <w:rFonts w:ascii="Calibri" w:hAnsi="Calibri"/>
          <w:color w:val="525866"/>
          <w:sz w:val="22"/>
        </w:rPr>
        <w:t xml:space="preserve">OHI confirmed "there's been no net new supply for over a decade in this space" and "most states have some sort of restriction on new supply." Management believes assets purchased today "in 10, 15 years' time, may actually look an extremely good buy." </w:t>
      </w:r>
      <w:r>
        <w:rPr>
          <w:rFonts w:ascii="Calibri" w:hAnsi="Calibri"/>
          <w:color w:val="525866"/>
          <w:sz w:val="22"/>
        </w:rPr>
        <w:t>Read-through: Positive for WELL's LT/PA care and triple-net segments.</w:t>
      </w:r>
    </w:p>
    <w:p>
      <w:pPr>
        <w:pStyle w:val="ListBullet"/>
        <w:ind w:left="360" w:hanging="360"/>
      </w:pPr>
      <w:r>
        <w:rPr>
          <w:rFonts w:ascii="Calibri" w:hAnsi="Calibri"/>
          <w:b/>
          <w:color w:val="525866"/>
          <w:sz w:val="22"/>
        </w:rPr>
        <w:t xml:space="preserve">Competitive RIDEA market: </w:t>
      </w:r>
      <w:r>
        <w:rPr>
          <w:rFonts w:ascii="Calibri" w:hAnsi="Calibri"/>
          <w:color w:val="525866"/>
          <w:sz w:val="22"/>
        </w:rPr>
        <w:t xml:space="preserve">OHI noted the senior housing RIDEA market is "competitive" with "a lot of players in this space now," requiring more off-market deal sourcing. Cap rates compressing. </w:t>
      </w:r>
      <w:r>
        <w:rPr>
          <w:rFonts w:ascii="Calibri" w:hAnsi="Calibri"/>
          <w:color w:val="525866"/>
          <w:sz w:val="22"/>
        </w:rPr>
        <w:t>Read-through: Validates WELL's competitive advantage in sourcing 90–95% of transactions off-market.</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OHI raised the low end of AFFO guidance, moving the midpoint up $0.02 to $3.22/share. Planned Q2 asset sales of $480M (CommuniCare portfolio) expected to generate ~$0.03 of annual AFFO/FAD accretion upon redeployment. </w:t>
      </w:r>
      <w:r>
        <w:rPr>
          <w:rFonts w:ascii="Calibri" w:hAnsi="Calibri"/>
          <w:color w:val="525866"/>
          <w:sz w:val="22"/>
        </w:rPr>
        <w:t>Read-through: Sector-wide capital recycling into higher-yielding assets is a positive trend.</w:t>
      </w:r>
    </w:p>
    <w:p>
      <w:pPr>
        <w:pStyle w:val="ListBullet"/>
        <w:ind w:left="360" w:hanging="360"/>
      </w:pPr>
      <w:r>
        <w:rPr>
          <w:rFonts w:ascii="Calibri" w:hAnsi="Calibri"/>
          <w:b/>
          <w:color w:val="525866"/>
          <w:sz w:val="22"/>
        </w:rPr>
        <w:t xml:space="preserve">Demographics: </w:t>
      </w:r>
      <w:r>
        <w:rPr>
          <w:rFonts w:ascii="Calibri" w:hAnsi="Calibri"/>
          <w:color w:val="525866"/>
          <w:sz w:val="22"/>
        </w:rPr>
        <w:t xml:space="preserve">"The demographics are here and coming" — OHI expects occupancy to increase "in the next year or 2." </w:t>
      </w:r>
      <w:r>
        <w:rPr>
          <w:rFonts w:ascii="Calibri" w:hAnsi="Calibri"/>
          <w:color w:val="525866"/>
          <w:sz w:val="22"/>
        </w:rPr>
        <w:t>Read-through: Consistent with WELL's multi-year occupancy runway thesis.</w:t>
      </w:r>
    </w:p>
    <w:p>
      <w:pPr>
        <w:pStyle w:val="Heading3"/>
      </w:pPr>
      <w:r>
        <w:rPr>
          <w:rFonts w:ascii="Calibri" w:hAnsi="Calibri"/>
          <w:b/>
          <w:color w:val="3B4259"/>
          <w:sz w:val="24"/>
        </w:rPr>
        <w:t>CareTrust REIT (CTRE) — Q1 2026 Earnings Call (May 8, 2026)</w:t>
      </w:r>
    </w:p>
    <w:p>
      <w:r>
        <w:rPr>
          <w:rFonts w:ascii="Calibri" w:hAnsi="Calibri"/>
          <w:b/>
          <w:color w:val="525866"/>
          <w:sz w:val="22"/>
        </w:rPr>
        <w:t xml:space="preserve">Read-Through Signal: </w:t>
      </w:r>
      <w:r>
        <w:rPr>
          <w:rFonts w:ascii="Calibri" w:hAnsi="Calibri"/>
          <w:color w:val="525866"/>
          <w:sz w:val="22"/>
        </w:rPr>
        <w:t xml:space="preserve"> Neutral (Smaller, Triple-Net Focused)</w:t>
      </w:r>
    </w:p>
    <w:p>
      <w:pPr>
        <w:pStyle w:val="ListBullet"/>
        <w:ind w:left="360" w:hanging="360"/>
      </w:pPr>
      <w:r>
        <w:rPr>
          <w:rFonts w:ascii="Calibri" w:hAnsi="Calibri"/>
          <w:b/>
          <w:color w:val="525866"/>
          <w:sz w:val="22"/>
        </w:rPr>
        <w:t xml:space="preserve">SHOP cap rate compression: </w:t>
      </w:r>
      <w:r>
        <w:rPr>
          <w:rFonts w:ascii="Calibri" w:hAnsi="Calibri"/>
          <w:color w:val="525866"/>
          <w:sz w:val="22"/>
        </w:rPr>
        <w:t xml:space="preserve">CTRE noted SHOP cap rates have "probably compressed 50 bps or more" in the last 6 months, with Class A primary market assets now trading at "5 handle" cap rates. </w:t>
      </w:r>
      <w:r>
        <w:rPr>
          <w:rFonts w:ascii="Calibri" w:hAnsi="Calibri"/>
          <w:color w:val="525866"/>
          <w:sz w:val="22"/>
        </w:rPr>
        <w:t>Read-through: Validates WELL's premium valuation and the market's recognition of senior housing as a high-quality asset class.</w:t>
      </w:r>
    </w:p>
    <w:p>
      <w:pPr>
        <w:pStyle w:val="ListBullet"/>
        <w:ind w:left="360" w:hanging="360"/>
      </w:pPr>
      <w:r>
        <w:rPr>
          <w:rFonts w:ascii="Calibri" w:hAnsi="Calibri"/>
          <w:b/>
          <w:color w:val="525866"/>
          <w:sz w:val="22"/>
        </w:rPr>
        <w:t xml:space="preserve">Skilled nursing occupancy trajectory: </w:t>
      </w:r>
      <w:r>
        <w:rPr>
          <w:rFonts w:ascii="Calibri" w:hAnsi="Calibri"/>
          <w:color w:val="525866"/>
          <w:sz w:val="22"/>
        </w:rPr>
        <w:t xml:space="preserve">CTRE CEO noted SNF occupancy is "in the low 80s as an industry" but expects it to be "dramatically different" in 5–7 years due to "inevitable" demographics. </w:t>
      </w:r>
      <w:r>
        <w:rPr>
          <w:rFonts w:ascii="Calibri" w:hAnsi="Calibri"/>
          <w:color w:val="525866"/>
          <w:sz w:val="22"/>
        </w:rPr>
        <w:t>Read-through: Long-term demand tailwind is broadly recognized across the sector.</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CTRE raised full-year normalized FFO/share guidance to $2.00–$2.04 (midpoint +14.8% vs. 2025), with YTD investments of ~$1.1B at 8.9% blended stabilized yield. </w:t>
      </w:r>
      <w:r>
        <w:rPr>
          <w:rFonts w:ascii="Calibri" w:hAnsi="Calibri"/>
          <w:color w:val="525866"/>
          <w:sz w:val="22"/>
        </w:rPr>
        <w:t>Read-through: Broad-based guidance raises across the sector support the positive macro backdrop for WELL.</w:t>
      </w:r>
    </w:p>
    <w:p>
      <w:pPr>
        <w:pStyle w:val="Heading3"/>
      </w:pPr>
      <w:r>
        <w:rPr>
          <w:rFonts w:ascii="Calibri" w:hAnsi="Calibri"/>
          <w:b/>
          <w:color w:val="3B4259"/>
          <w:sz w:val="24"/>
        </w:rPr>
        <w:t>Healthpeak Properties (DOC) — Q1 2026 Earnings Call (May 6, 2026)</w:t>
      </w:r>
    </w:p>
    <w:p>
      <w:r>
        <w:rPr>
          <w:rFonts w:ascii="Calibri" w:hAnsi="Calibri"/>
          <w:b/>
          <w:color w:val="525866"/>
          <w:sz w:val="22"/>
        </w:rPr>
        <w:t xml:space="preserve">Read-Through Signal: </w:t>
      </w:r>
      <w:r>
        <w:rPr>
          <w:rFonts w:ascii="Calibri" w:hAnsi="Calibri"/>
          <w:color w:val="525866"/>
          <w:sz w:val="22"/>
        </w:rPr>
        <w:t xml:space="preserve"> Positive (Senior Housing Specific)</w:t>
      </w:r>
    </w:p>
    <w:p>
      <w:pPr>
        <w:pStyle w:val="ListBullet"/>
        <w:ind w:left="360" w:hanging="360"/>
      </w:pPr>
      <w:r>
        <w:rPr>
          <w:rFonts w:ascii="Calibri" w:hAnsi="Calibri"/>
          <w:b/>
          <w:color w:val="525866"/>
          <w:sz w:val="22"/>
        </w:rPr>
        <w:t xml:space="preserve">Senior housing results "phenomenal": </w:t>
      </w:r>
      <w:r>
        <w:rPr>
          <w:rFonts w:ascii="Calibri" w:hAnsi="Calibri"/>
          <w:color w:val="525866"/>
          <w:sz w:val="22"/>
        </w:rPr>
        <w:t xml:space="preserve">DOC described Q1 senior housing results as "phenomenal across the board," with entry fees setting an all-time high for the quarter. Janus Living (the spun-off senior housing entity) delivered total revenue growth of 35% and adjusted EBITDA growth of 42%. </w:t>
      </w:r>
      <w:r>
        <w:rPr>
          <w:rFonts w:ascii="Calibri" w:hAnsi="Calibri"/>
          <w:color w:val="525866"/>
          <w:sz w:val="22"/>
        </w:rPr>
        <w:t>Read-through: Confirms the exceptional operating environment that WELL is also experiencing.</w:t>
      </w:r>
    </w:p>
    <w:p>
      <w:pPr>
        <w:pStyle w:val="ListBullet"/>
        <w:ind w:left="360" w:hanging="360"/>
      </w:pPr>
      <w:r>
        <w:rPr>
          <w:rFonts w:ascii="Calibri" w:hAnsi="Calibri"/>
          <w:b/>
          <w:color w:val="525866"/>
          <w:sz w:val="22"/>
        </w:rPr>
        <w:t xml:space="preserve">Multiple arbitrage: </w:t>
      </w:r>
      <w:r>
        <w:rPr>
          <w:rFonts w:ascii="Calibri" w:hAnsi="Calibri"/>
          <w:color w:val="525866"/>
          <w:sz w:val="22"/>
        </w:rPr>
        <w:t xml:space="preserve">DOC noted the senior housing portfolio is being valued at "roughly 20 turns higher" than Healthpeak's blended multiple, validating the premium valuation the market assigns to pure-play senior housing operators like WELL. </w:t>
      </w:r>
      <w:r>
        <w:rPr>
          <w:rFonts w:ascii="Calibri" w:hAnsi="Calibri"/>
          <w:color w:val="525866"/>
          <w:sz w:val="22"/>
        </w:rPr>
        <w:t>Read-through: Supports WELL's premium P/FFO multiple vs. diversified healthcare REITs.</w:t>
      </w:r>
    </w:p>
    <w:p>
      <w:pPr>
        <w:pStyle w:val="ListBullet"/>
        <w:ind w:left="360" w:hanging="360"/>
      </w:pPr>
      <w:r>
        <w:rPr>
          <w:rFonts w:ascii="Calibri" w:hAnsi="Calibri"/>
          <w:b/>
          <w:color w:val="525866"/>
          <w:sz w:val="22"/>
        </w:rPr>
        <w:t xml:space="preserve">Continued investment: </w:t>
      </w:r>
      <w:r>
        <w:rPr>
          <w:rFonts w:ascii="Calibri" w:hAnsi="Calibri"/>
          <w:color w:val="525866"/>
          <w:sz w:val="22"/>
        </w:rPr>
        <w:t xml:space="preserve">DOC invested $714M in senior housing acquisitions in Q1 and plans to deploy $750M of cash into acquisitions through year-end. </w:t>
      </w:r>
      <w:r>
        <w:rPr>
          <w:rFonts w:ascii="Calibri" w:hAnsi="Calibri"/>
          <w:color w:val="525866"/>
          <w:sz w:val="22"/>
        </w:rPr>
        <w:t>Read-through: Capital continues to flow into senior housing at scale, validating WELL's aggressive deployment strategy.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Commentary Date</w:t>
            </w:r>
          </w:p>
        </w:tc>
        <w:tc>
          <w:tcPr>
            <w:tcW w:type="dxa" w:w="2160"/>
            <w:shd w:val="clear" w:color="auto" w:fill="3B4259"/>
          </w:tcPr>
          <w:p>
            <w:r>
              <w:rPr>
                <w:rFonts w:ascii="Calibri" w:hAnsi="Calibri"/>
                <w:b/>
                <w:color w:val="FFFFFF"/>
                <w:sz w:val="22"/>
              </w:rPr>
              <w:t>Key Signal for WELL Q2</w:t>
            </w:r>
          </w:p>
        </w:tc>
        <w:tc>
          <w:tcPr>
            <w:tcW w:type="dxa" w:w="2160"/>
            <w:shd w:val="clear" w:color="auto" w:fill="3B4259"/>
          </w:tcPr>
          <w:p>
            <w:r>
              <w:rPr>
                <w:rFonts w:ascii="Calibri" w:hAnsi="Calibri"/>
                <w:b/>
                <w:color w:val="FFFFFF"/>
                <w:sz w:val="22"/>
              </w:rPr>
              <w:t>Read-Through</w:t>
            </w:r>
          </w:p>
        </w:tc>
      </w:tr>
      <w:tr>
        <w:tc>
          <w:tcPr>
            <w:tcW w:type="dxa" w:w="2160"/>
          </w:tcPr>
          <w:p>
            <w:r>
              <w:rPr>
                <w:rFonts w:ascii="Calibri" w:hAnsi="Calibri"/>
                <w:sz w:val="22"/>
              </w:rPr>
              <w:t>VTR</w:t>
            </w:r>
          </w:p>
        </w:tc>
        <w:tc>
          <w:tcPr>
            <w:tcW w:type="dxa" w:w="2160"/>
          </w:tcPr>
          <w:p>
            <w:r>
              <w:rPr>
                <w:rFonts w:ascii="Calibri" w:hAnsi="Calibri"/>
                <w:sz w:val="22"/>
              </w:rPr>
              <w:t>Apr 28, 2026</w:t>
            </w:r>
          </w:p>
        </w:tc>
        <w:tc>
          <w:tcPr>
            <w:tcW w:type="dxa" w:w="2160"/>
          </w:tcPr>
          <w:p>
            <w:r>
              <w:rPr>
                <w:rFonts w:ascii="Calibri" w:hAnsi="Calibri"/>
                <w:sz w:val="22"/>
              </w:rPr>
              <w:t>Raised SHOP NOI growth to 16% mid; occupancy guidance to 300 bps; supply at historic lows; waitlists forming in US</w:t>
            </w:r>
          </w:p>
        </w:tc>
        <w:tc>
          <w:tcPr>
            <w:tcW w:type="dxa" w:w="2160"/>
          </w:tcPr>
          <w:p>
            <w:r>
              <w:rPr>
                <w:rFonts w:ascii="Calibri" w:hAnsi="Calibri"/>
                <w:b/>
                <w:color w:val="30A46C"/>
                <w:sz w:val="22"/>
              </w:rPr>
              <w:t>Strongly Positive</w:t>
            </w:r>
          </w:p>
        </w:tc>
      </w:tr>
      <w:tr>
        <w:tc>
          <w:tcPr>
            <w:tcW w:type="dxa" w:w="2160"/>
          </w:tcPr>
          <w:p>
            <w:r>
              <w:rPr>
                <w:rFonts w:ascii="Calibri" w:hAnsi="Calibri"/>
                <w:sz w:val="22"/>
              </w:rPr>
              <w:t>AHR</w:t>
            </w:r>
          </w:p>
        </w:tc>
        <w:tc>
          <w:tcPr>
            <w:tcW w:type="dxa" w:w="2160"/>
          </w:tcPr>
          <w:p>
            <w:r>
              <w:rPr>
                <w:rFonts w:ascii="Calibri" w:hAnsi="Calibri"/>
                <w:sz w:val="22"/>
              </w:rPr>
              <w:t>May 8, 2026</w:t>
            </w:r>
          </w:p>
        </w:tc>
        <w:tc>
          <w:tcPr>
            <w:tcW w:type="dxa" w:w="2160"/>
          </w:tcPr>
          <w:p>
            <w:r>
              <w:rPr>
                <w:rFonts w:ascii="Calibri" w:hAnsi="Calibri"/>
                <w:sz w:val="22"/>
              </w:rPr>
              <w:t>9th consecutive quarter of double-digit NOI growth; raised FY guidance; SHOP NOI +19.7%; supply "near historic lows"</w:t>
            </w:r>
          </w:p>
        </w:tc>
        <w:tc>
          <w:tcPr>
            <w:tcW w:type="dxa" w:w="2160"/>
          </w:tcPr>
          <w:p>
            <w:r>
              <w:rPr>
                <w:rFonts w:ascii="Calibri" w:hAnsi="Calibri"/>
                <w:b/>
                <w:color w:val="30A46C"/>
                <w:sz w:val="22"/>
              </w:rPr>
              <w:t>Positive</w:t>
            </w:r>
          </w:p>
        </w:tc>
      </w:tr>
      <w:tr>
        <w:tc>
          <w:tcPr>
            <w:tcW w:type="dxa" w:w="2160"/>
          </w:tcPr>
          <w:p>
            <w:r>
              <w:rPr>
                <w:rFonts w:ascii="Calibri" w:hAnsi="Calibri"/>
                <w:sz w:val="22"/>
              </w:rPr>
              <w:t>AHR (REITweek)</w:t>
            </w:r>
          </w:p>
        </w:tc>
        <w:tc>
          <w:tcPr>
            <w:tcW w:type="dxa" w:w="2160"/>
          </w:tcPr>
          <w:p>
            <w:r>
              <w:rPr>
                <w:rFonts w:ascii="Calibri" w:hAnsi="Calibri"/>
                <w:sz w:val="22"/>
              </w:rPr>
              <w:t>Jun 2, 2026</w:t>
            </w:r>
          </w:p>
        </w:tc>
        <w:tc>
          <w:tcPr>
            <w:tcW w:type="dxa" w:w="2160"/>
          </w:tcPr>
          <w:p>
            <w:r>
              <w:rPr>
                <w:rFonts w:ascii="Calibri" w:hAnsi="Calibri"/>
                <w:sz w:val="22"/>
              </w:rPr>
              <w:t>"Very nice SS NOI growth in 2026 and 2027"; needs-based demand resilience; revenue management as next growth driver</w:t>
            </w:r>
          </w:p>
        </w:tc>
        <w:tc>
          <w:tcPr>
            <w:tcW w:type="dxa" w:w="2160"/>
          </w:tcPr>
          <w:p>
            <w:r>
              <w:rPr>
                <w:rFonts w:ascii="Calibri" w:hAnsi="Calibri"/>
                <w:b/>
                <w:color w:val="30A46C"/>
                <w:sz w:val="22"/>
              </w:rPr>
              <w:t>Positive</w:t>
            </w:r>
          </w:p>
        </w:tc>
      </w:tr>
      <w:tr>
        <w:tc>
          <w:tcPr>
            <w:tcW w:type="dxa" w:w="2160"/>
          </w:tcPr>
          <w:p>
            <w:r>
              <w:rPr>
                <w:rFonts w:ascii="Calibri" w:hAnsi="Calibri"/>
                <w:sz w:val="22"/>
              </w:rPr>
              <w:t>SBRA</w:t>
            </w:r>
          </w:p>
        </w:tc>
        <w:tc>
          <w:tcPr>
            <w:tcW w:type="dxa" w:w="2160"/>
          </w:tcPr>
          <w:p>
            <w:r>
              <w:rPr>
                <w:rFonts w:ascii="Calibri" w:hAnsi="Calibri"/>
                <w:sz w:val="22"/>
              </w:rPr>
              <w:t>Apr 30, 2026</w:t>
            </w:r>
          </w:p>
        </w:tc>
        <w:tc>
          <w:tcPr>
            <w:tcW w:type="dxa" w:w="2160"/>
          </w:tcPr>
          <w:p>
            <w:r>
              <w:rPr>
                <w:rFonts w:ascii="Calibri" w:hAnsi="Calibri"/>
                <w:sz w:val="22"/>
              </w:rPr>
              <w:t>SS NOI +14.4%; exPOR +1.8% (operating leverage); deal flow "picking up speed"; guidance reaffirmed</w:t>
            </w:r>
          </w:p>
        </w:tc>
        <w:tc>
          <w:tcPr>
            <w:tcW w:type="dxa" w:w="2160"/>
          </w:tcPr>
          <w:p>
            <w:r>
              <w:rPr>
                <w:rFonts w:ascii="Calibri" w:hAnsi="Calibri"/>
                <w:b/>
                <w:color w:val="30A46C"/>
                <w:sz w:val="22"/>
              </w:rPr>
              <w:t>Moderately Positive</w:t>
            </w:r>
          </w:p>
        </w:tc>
      </w:tr>
      <w:tr>
        <w:tc>
          <w:tcPr>
            <w:tcW w:type="dxa" w:w="2160"/>
          </w:tcPr>
          <w:p>
            <w:r>
              <w:rPr>
                <w:rFonts w:ascii="Calibri" w:hAnsi="Calibri"/>
                <w:sz w:val="22"/>
              </w:rPr>
              <w:t>OHI</w:t>
            </w:r>
          </w:p>
        </w:tc>
        <w:tc>
          <w:tcPr>
            <w:tcW w:type="dxa" w:w="2160"/>
          </w:tcPr>
          <w:p>
            <w:r>
              <w:rPr>
                <w:rFonts w:ascii="Calibri" w:hAnsi="Calibri"/>
                <w:sz w:val="22"/>
              </w:rPr>
              <w:t>Apr 29, 2026</w:t>
            </w:r>
          </w:p>
        </w:tc>
        <w:tc>
          <w:tcPr>
            <w:tcW w:type="dxa" w:w="2160"/>
          </w:tcPr>
          <w:p>
            <w:r>
              <w:rPr>
                <w:rFonts w:ascii="Calibri" w:hAnsi="Calibri"/>
                <w:sz w:val="22"/>
              </w:rPr>
              <w:t>No net new SNF supply for a decade; RIDEA market competitive (validates WELL's off-market sourcing edge); guidance raised</w:t>
            </w:r>
          </w:p>
        </w:tc>
        <w:tc>
          <w:tcPr>
            <w:tcW w:type="dxa" w:w="2160"/>
          </w:tcPr>
          <w:p>
            <w:r>
              <w:rPr>
                <w:rFonts w:ascii="Calibri" w:hAnsi="Calibri"/>
                <w:sz w:val="22"/>
              </w:rPr>
              <w:t>Neutral-to-Positive</w:t>
            </w:r>
          </w:p>
        </w:tc>
      </w:tr>
      <w:tr>
        <w:tc>
          <w:tcPr>
            <w:tcW w:type="dxa" w:w="2160"/>
          </w:tcPr>
          <w:p>
            <w:r>
              <w:rPr>
                <w:rFonts w:ascii="Calibri" w:hAnsi="Calibri"/>
                <w:sz w:val="22"/>
              </w:rPr>
              <w:t>CTRE</w:t>
            </w:r>
          </w:p>
        </w:tc>
        <w:tc>
          <w:tcPr>
            <w:tcW w:type="dxa" w:w="2160"/>
          </w:tcPr>
          <w:p>
            <w:r>
              <w:rPr>
                <w:rFonts w:ascii="Calibri" w:hAnsi="Calibri"/>
                <w:sz w:val="22"/>
              </w:rPr>
              <w:t>May 8, 2026</w:t>
            </w:r>
          </w:p>
        </w:tc>
        <w:tc>
          <w:tcPr>
            <w:tcW w:type="dxa" w:w="2160"/>
          </w:tcPr>
          <w:p>
            <w:r>
              <w:rPr>
                <w:rFonts w:ascii="Calibri" w:hAnsi="Calibri"/>
                <w:sz w:val="22"/>
              </w:rPr>
              <w:t>SHOP cap rates compressed 50+ bps in 6 months; Class A primary market at 5% cap rates; guidance raised +14.8%</w:t>
            </w:r>
          </w:p>
        </w:tc>
        <w:tc>
          <w:tcPr>
            <w:tcW w:type="dxa" w:w="2160"/>
          </w:tcPr>
          <w:p>
            <w:r>
              <w:rPr>
                <w:rFonts w:ascii="Calibri" w:hAnsi="Calibri"/>
                <w:sz w:val="22"/>
              </w:rPr>
              <w:t>Neutral</w:t>
            </w:r>
          </w:p>
        </w:tc>
      </w:tr>
      <w:tr>
        <w:tc>
          <w:tcPr>
            <w:tcW w:type="dxa" w:w="2160"/>
          </w:tcPr>
          <w:p>
            <w:r>
              <w:rPr>
                <w:rFonts w:ascii="Calibri" w:hAnsi="Calibri"/>
                <w:sz w:val="22"/>
              </w:rPr>
              <w:t>DOC</w:t>
            </w:r>
          </w:p>
        </w:tc>
        <w:tc>
          <w:tcPr>
            <w:tcW w:type="dxa" w:w="2160"/>
          </w:tcPr>
          <w:p>
            <w:r>
              <w:rPr>
                <w:rFonts w:ascii="Calibri" w:hAnsi="Calibri"/>
                <w:sz w:val="22"/>
              </w:rPr>
              <w:t>May 6, 2026</w:t>
            </w:r>
          </w:p>
        </w:tc>
        <w:tc>
          <w:tcPr>
            <w:tcW w:type="dxa" w:w="2160"/>
          </w:tcPr>
          <w:p>
            <w:r>
              <w:rPr>
                <w:rFonts w:ascii="Calibri" w:hAnsi="Calibri"/>
                <w:sz w:val="22"/>
              </w:rPr>
              <w:t>Senior housing results "phenomenal"; Janus Living revenue +35%, EBITDA +42%; senior housing valued at 20x premium to blended REIT multiple</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closing of the Amica Senior Lifestyles acquisition ($4.2B, completed April 1, 2026) and the subsequent C$1.15B Canadian dollar notes offering (July 13, 2026) — together signaling that WELL is aggressively deploying its record-low leverage into high-quality senior housing at scale, which will be a key topic on the Q2 call.</w:t>
      </w:r>
    </w:p>
    <w:p>
      <w:pPr>
        <w:pStyle w:val="ListBullet"/>
        <w:ind w:left="360" w:hanging="360"/>
      </w:pPr>
      <w:r>
        <w:rPr>
          <w:rFonts w:ascii="Calibri" w:hAnsi="Calibri"/>
          <w:b/>
          <w:color w:val="525866"/>
          <w:sz w:val="22"/>
        </w:rPr>
        <w:t xml:space="preserve">July 13, 2026 — C$1.15 Billion Canadian Dollar Notes Offering (8-K): </w:t>
      </w:r>
      <w:r>
        <w:rPr>
          <w:rFonts w:ascii="Calibri" w:hAnsi="Calibri"/>
          <w:color w:val="525866"/>
          <w:sz w:val="22"/>
        </w:rPr>
        <w:t xml:space="preserve">Welltower's Canadian subsidiary completed a C$1.15B senior unsecured notes offering, the largest Canadian dollar debt issuance in the company's history. </w:t>
      </w:r>
      <w:r>
        <w:rPr>
          <w:rFonts w:ascii="Calibri" w:hAnsi="Calibri"/>
          <w:b/>
          <w:color w:val="525866"/>
          <w:sz w:val="22"/>
        </w:rPr>
        <w:t xml:space="preserve">Implication: </w:t>
      </w:r>
      <w:r>
        <w:rPr>
          <w:rFonts w:ascii="Calibri" w:hAnsi="Calibri"/>
          <w:color w:val="525866"/>
          <w:sz w:val="22"/>
        </w:rPr>
        <w:t>Signals continued aggressive capital deployment into Canadian senior housing (Amica, Barchester, HC-One) and provides low-cost local-currency funding for Canadian operations. Expect management to discuss deployment pipeline and Canadian portfolio integration on the Q2 call.</w:t>
      </w:r>
    </w:p>
    <w:p>
      <w:pPr>
        <w:pStyle w:val="ListBullet"/>
        <w:ind w:left="360" w:hanging="360"/>
      </w:pPr>
      <w:r>
        <w:rPr>
          <w:rFonts w:ascii="Calibri" w:hAnsi="Calibri"/>
          <w:b/>
          <w:color w:val="525866"/>
          <w:sz w:val="22"/>
        </w:rPr>
        <w:t xml:space="preserve">April 1, 2026 — Amica Senior Lifestyles Acquisition Completed: </w:t>
      </w:r>
      <w:r>
        <w:rPr>
          <w:rFonts w:ascii="Calibri" w:hAnsi="Calibri"/>
          <w:color w:val="525866"/>
          <w:sz w:val="22"/>
        </w:rPr>
        <w:t xml:space="preserve">WELL completed the acquisition of Amica Senior Lifestyles, a premium senior housing operator in the Greater Toronto Area and Vancouver markets. This was part of the ~$4.2B of Q2 transactions already closed as of the Q1 earnings call. Subject to Canadian Competition Bureau consent agreement requiring divestiture of four existing communities. </w:t>
      </w:r>
      <w:r>
        <w:rPr>
          <w:rFonts w:ascii="Calibri" w:hAnsi="Calibri"/>
          <w:b/>
          <w:color w:val="525866"/>
          <w:sz w:val="22"/>
        </w:rPr>
        <w:t xml:space="preserve">Implication: </w:t>
      </w:r>
      <w:r>
        <w:rPr>
          <w:rFonts w:ascii="Calibri" w:hAnsi="Calibri"/>
          <w:color w:val="525866"/>
          <w:sz w:val="22"/>
        </w:rPr>
        <w:t>Largest single acquisition in WELL's history; adds premium Canadian assets to the portfolio but creates near-term dilution that will weigh on Q2 FFO/share. Management will likely provide an update on integration progress and the Competition Bureau divestiture timeline.</w:t>
      </w:r>
    </w:p>
    <w:p>
      <w:pPr>
        <w:pStyle w:val="ListBullet"/>
        <w:ind w:left="360" w:hanging="360"/>
      </w:pPr>
      <w:r>
        <w:rPr>
          <w:rFonts w:ascii="Calibri" w:hAnsi="Calibri"/>
          <w:b/>
          <w:color w:val="525866"/>
          <w:sz w:val="22"/>
        </w:rPr>
        <w:t xml:space="preserve">April 28–29, 2026 — Q1 2026 Earnings: Record Results and Guidance Raise: </w:t>
      </w:r>
      <w:r>
        <w:rPr>
          <w:rFonts w:ascii="Calibri" w:hAnsi="Calibri"/>
          <w:color w:val="525866"/>
          <w:sz w:val="22"/>
        </w:rPr>
        <w:t xml:space="preserve">WELL reported normalized FFO/share of $1.47 (+22.5% YoY), total portfolio SS NOI growth of 16.4% (highest in company history), and SHO SS NOI growth of 22.1% (14th consecutive quarter above 20%). Full-year normalized FFO guidance raised by $0.11 at the midpoint to $6.28. </w:t>
      </w:r>
      <w:r>
        <w:rPr>
          <w:rFonts w:ascii="Calibri" w:hAnsi="Calibri"/>
          <w:b/>
          <w:color w:val="525866"/>
          <w:sz w:val="22"/>
        </w:rPr>
        <w:t xml:space="preserve">Implication: </w:t>
      </w:r>
      <w:r>
        <w:rPr>
          <w:rFonts w:ascii="Calibri" w:hAnsi="Calibri"/>
          <w:color w:val="525866"/>
          <w:sz w:val="22"/>
        </w:rPr>
        <w:t>Sets a high bar for Q2 but also establishes the operational credibility that has driven the stock to all-time highs.</w:t>
      </w:r>
    </w:p>
    <w:p>
      <w:pPr>
        <w:pStyle w:val="ListBullet"/>
        <w:ind w:left="360" w:hanging="360"/>
      </w:pPr>
      <w:r>
        <w:rPr>
          <w:rFonts w:ascii="Calibri" w:hAnsi="Calibri"/>
          <w:b/>
          <w:color w:val="525866"/>
          <w:sz w:val="22"/>
        </w:rPr>
        <w:t xml:space="preserve">April 29, 2026 — Share Registration (8-K): </w:t>
      </w:r>
      <w:r>
        <w:rPr>
          <w:rFonts w:ascii="Calibri" w:hAnsi="Calibri"/>
          <w:color w:val="525866"/>
          <w:sz w:val="22"/>
        </w:rPr>
        <w:t xml:space="preserve">WELL filed to register over 314,000 shares for resale and potential issuance, related to OP unit conversions from recent acquisitions. </w:t>
      </w:r>
      <w:r>
        <w:rPr>
          <w:rFonts w:ascii="Calibri" w:hAnsi="Calibri"/>
          <w:b/>
          <w:color w:val="525866"/>
          <w:sz w:val="22"/>
        </w:rPr>
        <w:t xml:space="preserve">Implication: </w:t>
      </w:r>
      <w:r>
        <w:rPr>
          <w:rFonts w:ascii="Calibri" w:hAnsi="Calibri"/>
          <w:color w:val="525866"/>
          <w:sz w:val="22"/>
        </w:rPr>
        <w:t>Routine post-acquisition housekeeping; not a dilutive equity offering. Reflects the use of OP units as acquisition currency.</w:t>
      </w:r>
    </w:p>
    <w:p>
      <w:pPr>
        <w:pStyle w:val="ListBullet"/>
        <w:ind w:left="360" w:hanging="360"/>
      </w:pPr>
      <w:r>
        <w:rPr>
          <w:rFonts w:ascii="Calibri" w:hAnsi="Calibri"/>
          <w:b/>
          <w:color w:val="525866"/>
          <w:sz w:val="22"/>
        </w:rPr>
        <w:t xml:space="preserve">Q1 2026 — Data Science Platform Licensing Partnerships Announced: </w:t>
      </w:r>
      <w:r>
        <w:rPr>
          <w:rFonts w:ascii="Calibri" w:hAnsi="Calibri"/>
          <w:color w:val="525866"/>
          <w:sz w:val="22"/>
        </w:rPr>
        <w:t xml:space="preserve">WELL announced licensing partnerships with Public Storage and a leading global private equity real estate firm, monetizing its proprietary data science capital allocation platform externally. The Public Storage partnership is structured as a two-way exchange. Management reported significant inbound interest from banks, sovereign wealth funds, and non-real estate companies. </w:t>
      </w:r>
      <w:r>
        <w:rPr>
          <w:rFonts w:ascii="Calibri" w:hAnsi="Calibri"/>
          <w:b/>
          <w:color w:val="525866"/>
          <w:sz w:val="22"/>
        </w:rPr>
        <w:t xml:space="preserve">Implication: </w:t>
      </w:r>
      <w:r>
        <w:rPr>
          <w:rFonts w:ascii="Calibri" w:hAnsi="Calibri"/>
          <w:color w:val="525866"/>
          <w:sz w:val="22"/>
        </w:rPr>
        <w:t>Emerging capital-light revenue stream; management is openly debating whether this becomes a standalone business. Expect Q2 call to provide an update on partnership pipeline and revenue potential.</w:t>
      </w:r>
    </w:p>
    <w:p>
      <w:pPr>
        <w:pStyle w:val="ListBullet"/>
        <w:ind w:left="360" w:hanging="360"/>
      </w:pPr>
      <w:r>
        <w:rPr>
          <w:rFonts w:ascii="Calibri" w:hAnsi="Calibri"/>
          <w:b/>
          <w:color w:val="525866"/>
          <w:sz w:val="22"/>
        </w:rPr>
        <w:t xml:space="preserve">Q1 2026 — U.S. Seniors Housing Equity Fund Fully Committed: </w:t>
      </w:r>
      <w:r>
        <w:rPr>
          <w:rFonts w:ascii="Calibri" w:hAnsi="Calibri"/>
          <w:color w:val="525866"/>
          <w:sz w:val="22"/>
        </w:rPr>
        <w:t xml:space="preserve">WELL's first private equity fund focused on US senior housing was fully committed during Q1 2026, adding a fee-generating asset management vertical. </w:t>
      </w:r>
      <w:r>
        <w:rPr>
          <w:rFonts w:ascii="Calibri" w:hAnsi="Calibri"/>
          <w:b/>
          <w:color w:val="525866"/>
          <w:sz w:val="22"/>
        </w:rPr>
        <w:t xml:space="preserve">Implication: </w:t>
      </w:r>
      <w:r>
        <w:rPr>
          <w:rFonts w:ascii="Calibri" w:hAnsi="Calibri"/>
          <w:color w:val="525866"/>
          <w:sz w:val="22"/>
        </w:rPr>
        <w:t>Validates the private funds management business as a real revenue stream; expect discussion of Fund II or next vehicle on the Q2 call.</w:t>
      </w:r>
    </w:p>
    <w:p>
      <w:pPr>
        <w:pStyle w:val="ListBullet"/>
        <w:ind w:left="360" w:hanging="360"/>
      </w:pPr>
      <w:r>
        <w:rPr>
          <w:rFonts w:ascii="Calibri" w:hAnsi="Calibri"/>
          <w:b/>
          <w:color w:val="525866"/>
          <w:sz w:val="22"/>
        </w:rPr>
        <w:t xml:space="preserve">Q1 2026 — Revolver Upsized to ~$6.25B: </w:t>
      </w:r>
      <w:r>
        <w:rPr>
          <w:rFonts w:ascii="Calibri" w:hAnsi="Calibri"/>
          <w:color w:val="525866"/>
          <w:sz w:val="22"/>
        </w:rPr>
        <w:t xml:space="preserve">WELL upsized its revolving credit facility to approximately $6.25 billion in March 2026 with improved pricing, providing substantial liquidity for continued acquisitions. Combined with $4.9B of cash on hand at Q1 end, total liquidity exceeds $11B. </w:t>
      </w:r>
      <w:r>
        <w:rPr>
          <w:rFonts w:ascii="Calibri" w:hAnsi="Calibri"/>
          <w:b/>
          <w:color w:val="525866"/>
          <w:sz w:val="22"/>
        </w:rPr>
        <w:t xml:space="preserve">Implication: </w:t>
      </w:r>
      <w:r>
        <w:rPr>
          <w:rFonts w:ascii="Calibri" w:hAnsi="Calibri"/>
          <w:color w:val="525866"/>
          <w:sz w:val="22"/>
        </w:rPr>
        <w:t>Balance sheet capacity is not a constraint; the question is deployment pace and quality.</w:t>
      </w:r>
    </w:p>
    <w:p>
      <w:pPr>
        <w:pStyle w:val="ListBullet"/>
        <w:ind w:left="360" w:hanging="360"/>
      </w:pPr>
      <w:r>
        <w:rPr>
          <w:rFonts w:ascii="Calibri" w:hAnsi="Calibri"/>
          <w:b/>
          <w:color w:val="525866"/>
          <w:sz w:val="22"/>
        </w:rPr>
        <w:t xml:space="preserve">Ongoing — Outpatient Medical Exit: </w:t>
      </w:r>
      <w:r>
        <w:rPr>
          <w:rFonts w:ascii="Calibri" w:hAnsi="Calibri"/>
          <w:color w:val="525866"/>
          <w:sz w:val="22"/>
        </w:rPr>
        <w:t xml:space="preserve">WELL has completed $11B of dispositions since the beginning of 2025, including the strategic exit from the outpatient medical segment. Remaining ~$500M of sales expected to complete in Q2 2026. </w:t>
      </w:r>
      <w:r>
        <w:rPr>
          <w:rFonts w:ascii="Calibri" w:hAnsi="Calibri"/>
          <w:b/>
          <w:color w:val="525866"/>
          <w:sz w:val="22"/>
        </w:rPr>
        <w:t xml:space="preserve">Implication: </w:t>
      </w:r>
      <w:r>
        <w:rPr>
          <w:rFonts w:ascii="Calibri" w:hAnsi="Calibri"/>
          <w:color w:val="525866"/>
          <w:sz w:val="22"/>
        </w:rPr>
        <w:t>Portfolio is becoming a near-pure-play senior housing rental platform. The dilutive impact of dispositions on 2026 FFO/share is well-understood by the market; the focus will be on the quality of reinvestment.</w:t>
      </w:r>
    </w:p>
    <w:p>
      <w:pPr>
        <w:pStyle w:val="ListBullet"/>
        <w:ind w:left="360" w:hanging="360"/>
      </w:pPr>
      <w:r>
        <w:rPr>
          <w:rFonts w:ascii="Calibri" w:hAnsi="Calibri"/>
          <w:b/>
          <w:color w:val="525866"/>
          <w:sz w:val="22"/>
        </w:rPr>
        <w:t xml:space="preserve">July 22, 2026 — Industry Data: Senior Housing Crosses 89.9% Occupancy: </w:t>
      </w:r>
      <w:r>
        <w:rPr>
          <w:rFonts w:ascii="Calibri" w:hAnsi="Calibri"/>
          <w:color w:val="525866"/>
          <w:sz w:val="22"/>
        </w:rPr>
        <w:t xml:space="preserve">National senior housing occupancy crossed 89.9% in Q2 2026, its 20th consecutive quarterly gain, with fewer than 16,000 units under construction nationwide. Four of five major healthcare REIT stocks closed at 52-week highs on July 22, with WELL at an all-time high for the fifth consecutive session. </w:t>
      </w:r>
      <w:r>
        <w:rPr>
          <w:rFonts w:ascii="Calibri" w:hAnsi="Calibri"/>
          <w:b/>
          <w:color w:val="525866"/>
          <w:sz w:val="22"/>
        </w:rPr>
        <w:t xml:space="preserve">Implication: </w:t>
      </w:r>
      <w:r>
        <w:rPr>
          <w:rFonts w:ascii="Calibri" w:hAnsi="Calibri"/>
          <w:color w:val="525866"/>
          <w:sz w:val="22"/>
        </w:rPr>
        <w:t>Industry occupancy data directly validates WELL's Q2 setup and supports the high end of the SHO NOI growth guidance range.</w:t>
      </w:r>
    </w:p>
    <w:p>
      <w:pPr>
        <w:pStyle w:val="ListBullet"/>
        <w:ind w:left="360" w:hanging="360"/>
      </w:pPr>
      <w:r>
        <w:rPr>
          <w:rFonts w:ascii="Calibri" w:hAnsi="Calibri"/>
          <w:b/>
          <w:color w:val="525866"/>
          <w:sz w:val="22"/>
        </w:rPr>
        <w:t xml:space="preserve">Analyst Activity (May–July 2026): </w:t>
      </w:r>
      <w:r>
        <w:rPr>
          <w:rFonts w:ascii="Calibri" w:hAnsi="Calibri"/>
          <w:color w:val="525866"/>
          <w:sz w:val="22"/>
        </w:rPr>
        <w:t xml:space="preserve">Mizuho set a $239 PT (May 22); RBC reiterated Outperform with $238 PT (June 15); Wells Fargo raised PT from $228 to $237 with Overweight (June 1); Barclays initiated at Equal Weight with $254 PT (July 7). Consensus rating: Moderate Buy with average PT of ~$234.72 (13 Buy, 4 Hold). </w:t>
      </w:r>
      <w:r>
        <w:rPr>
          <w:rFonts w:ascii="Calibri" w:hAnsi="Calibri"/>
          <w:b/>
          <w:color w:val="525866"/>
          <w:sz w:val="22"/>
        </w:rPr>
        <w:t xml:space="preserve">Implication: </w:t>
      </w:r>
      <w:r>
        <w:rPr>
          <w:rFonts w:ascii="Calibri" w:hAnsi="Calibri"/>
          <w:color w:val="525866"/>
          <w:sz w:val="22"/>
        </w:rPr>
        <w:t>Stock has significantly outrun analyst price targets (current ~$252), suggesting the street has been slow to upgrade targets. Barclays' Equal Weight initiation at $254 is notable as a potential ceiling signal.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insiders since the Q1 earnings date — all transactions are non-economic (grants, award vesting, OP unit conversions). The absence of insider selling despite the stock reaching all-time highs is a mild positive signal, though the RIDEA 6.0 compensation structure (which eliminates cash compensation for executives in favor of stock) means insiders have limited need to sell for liquidity.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Mitra Shankh</w:t>
            </w:r>
          </w:p>
        </w:tc>
        <w:tc>
          <w:tcPr>
            <w:tcW w:type="dxa" w:w="1440"/>
          </w:tcPr>
          <w:p>
            <w:r>
              <w:rPr>
                <w:rFonts w:ascii="Calibri" w:hAnsi="Calibri"/>
                <w:sz w:val="22"/>
              </w:rPr>
              <w:t>CEO, Director</w:t>
            </w:r>
          </w:p>
        </w:tc>
        <w:tc>
          <w:tcPr>
            <w:tcW w:type="dxa" w:w="1440"/>
          </w:tcPr>
          <w:p>
            <w:r>
              <w:rPr>
                <w:rFonts w:ascii="Calibri" w:hAnsi="Calibri"/>
                <w:sz w:val="22"/>
              </w:rPr>
              <w:t>Disposition (Code G — Gift/Non-Economic)</w:t>
            </w:r>
          </w:p>
        </w:tc>
        <w:tc>
          <w:tcPr>
            <w:tcW w:type="dxa" w:w="1440"/>
          </w:tcPr>
          <w:p>
            <w:r>
              <w:rPr>
                <w:rFonts w:ascii="Calibri" w:hAnsi="Calibri"/>
                <w:sz w:val="22"/>
              </w:rPr>
              <w:t>3,852 shares</w:t>
            </w:r>
          </w:p>
        </w:tc>
        <w:tc>
          <w:tcPr>
            <w:tcW w:type="dxa" w:w="1440"/>
          </w:tcPr>
          <w:p>
            <w:r>
              <w:rPr>
                <w:rFonts w:ascii="Calibri" w:hAnsi="Calibri"/>
                <w:sz w:val="22"/>
              </w:rPr>
              <w:t>Jun 26, 2026</w:t>
            </w:r>
          </w:p>
        </w:tc>
        <w:tc>
          <w:tcPr>
            <w:tcW w:type="dxa" w:w="1440"/>
          </w:tcPr>
          <w:p>
            <w:r>
              <w:rPr>
                <w:rFonts w:ascii="Calibri" w:hAnsi="Calibri"/>
                <w:sz w:val="22"/>
              </w:rPr>
              <w:t>Non-economic disposition (gift/transfer); not a market sale. No cash proceeds.</w:t>
            </w:r>
          </w:p>
        </w:tc>
      </w:tr>
      <w:tr>
        <w:tc>
          <w:tcPr>
            <w:tcW w:type="dxa" w:w="1440"/>
          </w:tcPr>
          <w:p>
            <w:r>
              <w:rPr>
                <w:rFonts w:ascii="Calibri" w:hAnsi="Calibri"/>
                <w:sz w:val="22"/>
              </w:rPr>
              <w:t>Mitra Shankh</w:t>
            </w:r>
          </w:p>
        </w:tc>
        <w:tc>
          <w:tcPr>
            <w:tcW w:type="dxa" w:w="1440"/>
          </w:tcPr>
          <w:p>
            <w:r>
              <w:rPr>
                <w:rFonts w:ascii="Calibri" w:hAnsi="Calibri"/>
                <w:sz w:val="22"/>
              </w:rPr>
              <w:t>CEO, Director</w:t>
            </w:r>
          </w:p>
        </w:tc>
        <w:tc>
          <w:tcPr>
            <w:tcW w:type="dxa" w:w="1440"/>
          </w:tcPr>
          <w:p>
            <w:r>
              <w:rPr>
                <w:rFonts w:ascii="Calibri" w:hAnsi="Calibri"/>
                <w:sz w:val="22"/>
              </w:rPr>
              <w:t>Acquisition (Code A — Grant/Award)</w:t>
            </w:r>
          </w:p>
        </w:tc>
        <w:tc>
          <w:tcPr>
            <w:tcW w:type="dxa" w:w="1440"/>
          </w:tcPr>
          <w:p>
            <w:r>
              <w:rPr>
                <w:rFonts w:ascii="Calibri" w:hAnsi="Calibri"/>
                <w:sz w:val="22"/>
              </w:rPr>
              <w:t>17 shares</w:t>
            </w:r>
          </w:p>
        </w:tc>
        <w:tc>
          <w:tcPr>
            <w:tcW w:type="dxa" w:w="1440"/>
          </w:tcPr>
          <w:p>
            <w:r>
              <w:rPr>
                <w:rFonts w:ascii="Calibri" w:hAnsi="Calibri"/>
                <w:sz w:val="22"/>
              </w:rPr>
              <w:t>May 31, 2026</w:t>
            </w:r>
          </w:p>
        </w:tc>
        <w:tc>
          <w:tcPr>
            <w:tcW w:type="dxa" w:w="1440"/>
          </w:tcPr>
          <w:p>
            <w:r>
              <w:rPr>
                <w:rFonts w:ascii="Calibri" w:hAnsi="Calibri"/>
                <w:sz w:val="22"/>
              </w:rPr>
              <w:t>Routine compensation grant; non-economic acquisition.</w:t>
            </w:r>
          </w:p>
        </w:tc>
      </w:tr>
      <w:tr>
        <w:tc>
          <w:tcPr>
            <w:tcW w:type="dxa" w:w="1440"/>
          </w:tcPr>
          <w:p>
            <w:r>
              <w:rPr>
                <w:rFonts w:ascii="Calibri" w:hAnsi="Calibri"/>
                <w:sz w:val="22"/>
              </w:rPr>
              <w:t>Mitra Shankh</w:t>
            </w:r>
          </w:p>
        </w:tc>
        <w:tc>
          <w:tcPr>
            <w:tcW w:type="dxa" w:w="1440"/>
          </w:tcPr>
          <w:p>
            <w:r>
              <w:rPr>
                <w:rFonts w:ascii="Calibri" w:hAnsi="Calibri"/>
                <w:sz w:val="22"/>
              </w:rPr>
              <w:t>CEO, Director</w:t>
            </w:r>
          </w:p>
        </w:tc>
        <w:tc>
          <w:tcPr>
            <w:tcW w:type="dxa" w:w="1440"/>
          </w:tcPr>
          <w:p>
            <w:r>
              <w:rPr>
                <w:rFonts w:ascii="Calibri" w:hAnsi="Calibri"/>
                <w:sz w:val="22"/>
              </w:rPr>
              <w:t>Disposition (Code G — Gift/Non-Economic)</w:t>
            </w:r>
          </w:p>
        </w:tc>
        <w:tc>
          <w:tcPr>
            <w:tcW w:type="dxa" w:w="1440"/>
          </w:tcPr>
          <w:p>
            <w:r>
              <w:rPr>
                <w:rFonts w:ascii="Calibri" w:hAnsi="Calibri"/>
                <w:sz w:val="22"/>
              </w:rPr>
              <w:t>162 shares</w:t>
            </w:r>
          </w:p>
        </w:tc>
        <w:tc>
          <w:tcPr>
            <w:tcW w:type="dxa" w:w="1440"/>
          </w:tcPr>
          <w:p>
            <w:r>
              <w:rPr>
                <w:rFonts w:ascii="Calibri" w:hAnsi="Calibri"/>
                <w:sz w:val="22"/>
              </w:rPr>
              <w:t>May 27, 2026</w:t>
            </w:r>
          </w:p>
        </w:tc>
        <w:tc>
          <w:tcPr>
            <w:tcW w:type="dxa" w:w="1440"/>
          </w:tcPr>
          <w:p>
            <w:r>
              <w:rPr>
                <w:rFonts w:ascii="Calibri" w:hAnsi="Calibri"/>
                <w:sz w:val="22"/>
              </w:rPr>
              <w:t>Non-economic disposition (gift/transfer); not a market sale.</w:t>
            </w:r>
          </w:p>
        </w:tc>
      </w:tr>
      <w:tr>
        <w:tc>
          <w:tcPr>
            <w:tcW w:type="dxa" w:w="1440"/>
          </w:tcPr>
          <w:p>
            <w:r>
              <w:rPr>
                <w:rFonts w:ascii="Calibri" w:hAnsi="Calibri"/>
                <w:sz w:val="22"/>
              </w:rPr>
              <w:t>Dennis G. Lopez</w:t>
            </w:r>
          </w:p>
        </w:tc>
        <w:tc>
          <w:tcPr>
            <w:tcW w:type="dxa" w:w="1440"/>
          </w:tcPr>
          <w:p>
            <w:r>
              <w:rPr>
                <w:rFonts w:ascii="Calibri" w:hAnsi="Calibri"/>
                <w:sz w:val="22"/>
              </w:rPr>
              <w:t>Director</w:t>
            </w:r>
          </w:p>
        </w:tc>
        <w:tc>
          <w:tcPr>
            <w:tcW w:type="dxa" w:w="1440"/>
          </w:tcPr>
          <w:p>
            <w:r>
              <w:rPr>
                <w:rFonts w:ascii="Calibri" w:hAnsi="Calibri"/>
                <w:sz w:val="22"/>
              </w:rPr>
              <w:t>Acquisition (Code A — Grant/Award)</w:t>
            </w:r>
          </w:p>
        </w:tc>
        <w:tc>
          <w:tcPr>
            <w:tcW w:type="dxa" w:w="1440"/>
          </w:tcPr>
          <w:p>
            <w:r>
              <w:rPr>
                <w:rFonts w:ascii="Calibri" w:hAnsi="Calibri"/>
                <w:sz w:val="22"/>
              </w:rPr>
              <w:t>63 shares</w:t>
            </w:r>
          </w:p>
        </w:tc>
        <w:tc>
          <w:tcPr>
            <w:tcW w:type="dxa" w:w="1440"/>
          </w:tcPr>
          <w:p>
            <w:r>
              <w:rPr>
                <w:rFonts w:ascii="Calibri" w:hAnsi="Calibri"/>
                <w:sz w:val="22"/>
              </w:rPr>
              <w:t>May 21, 2026</w:t>
            </w:r>
          </w:p>
        </w:tc>
        <w:tc>
          <w:tcPr>
            <w:tcW w:type="dxa" w:w="1440"/>
          </w:tcPr>
          <w:p>
            <w:r>
              <w:rPr>
                <w:rFonts w:ascii="Calibri" w:hAnsi="Calibri"/>
                <w:sz w:val="22"/>
              </w:rPr>
              <w:t>Routine director compensation grant; non-economic.</w:t>
            </w:r>
          </w:p>
        </w:tc>
      </w:tr>
      <w:tr>
        <w:tc>
          <w:tcPr>
            <w:tcW w:type="dxa" w:w="1440"/>
          </w:tcPr>
          <w:p>
            <w:r>
              <w:rPr>
                <w:rFonts w:ascii="Calibri" w:hAnsi="Calibri"/>
                <w:sz w:val="22"/>
              </w:rPr>
              <w:t>Kenneth J. Bacon</w:t>
            </w:r>
          </w:p>
        </w:tc>
        <w:tc>
          <w:tcPr>
            <w:tcW w:type="dxa" w:w="1440"/>
          </w:tcPr>
          <w:p>
            <w:r>
              <w:rPr>
                <w:rFonts w:ascii="Calibri" w:hAnsi="Calibri"/>
                <w:sz w:val="22"/>
              </w:rPr>
              <w:t>Director</w:t>
            </w:r>
          </w:p>
        </w:tc>
        <w:tc>
          <w:tcPr>
            <w:tcW w:type="dxa" w:w="1440"/>
          </w:tcPr>
          <w:p>
            <w:r>
              <w:rPr>
                <w:rFonts w:ascii="Calibri" w:hAnsi="Calibri"/>
                <w:sz w:val="22"/>
              </w:rPr>
              <w:t>OP Unit Conversion (Code C)</w:t>
            </w:r>
          </w:p>
        </w:tc>
        <w:tc>
          <w:tcPr>
            <w:tcW w:type="dxa" w:w="1440"/>
          </w:tcPr>
          <w:p>
            <w:r>
              <w:rPr>
                <w:rFonts w:ascii="Calibri" w:hAnsi="Calibri"/>
                <w:sz w:val="22"/>
              </w:rPr>
              <w:t>2,627 OP Units → Common</w:t>
            </w:r>
          </w:p>
        </w:tc>
        <w:tc>
          <w:tcPr>
            <w:tcW w:type="dxa" w:w="1440"/>
          </w:tcPr>
          <w:p>
            <w:r>
              <w:rPr>
                <w:rFonts w:ascii="Calibri" w:hAnsi="Calibri"/>
                <w:sz w:val="22"/>
              </w:rPr>
              <w:t>May 1, 2026</w:t>
            </w:r>
          </w:p>
        </w:tc>
        <w:tc>
          <w:tcPr>
            <w:tcW w:type="dxa" w:w="1440"/>
          </w:tcPr>
          <w:p>
            <w:r>
              <w:rPr>
                <w:rFonts w:ascii="Calibri" w:hAnsi="Calibri"/>
                <w:sz w:val="22"/>
              </w:rPr>
              <w:t>Routine OP unit-to-common stock conversion; not a market sale.</w:t>
            </w:r>
          </w:p>
        </w:tc>
      </w:tr>
      <w:tr>
        <w:tc>
          <w:tcPr>
            <w:tcW w:type="dxa" w:w="1440"/>
          </w:tcPr>
          <w:p>
            <w:r>
              <w:rPr>
                <w:rFonts w:ascii="Calibri" w:hAnsi="Calibri"/>
                <w:sz w:val="22"/>
              </w:rPr>
              <w:t>Mitra Shankh</w:t>
            </w:r>
          </w:p>
        </w:tc>
        <w:tc>
          <w:tcPr>
            <w:tcW w:type="dxa" w:w="1440"/>
          </w:tcPr>
          <w:p>
            <w:r>
              <w:rPr>
                <w:rFonts w:ascii="Calibri" w:hAnsi="Calibri"/>
                <w:sz w:val="22"/>
              </w:rPr>
              <w:t>CEO, Director</w:t>
            </w:r>
          </w:p>
        </w:tc>
        <w:tc>
          <w:tcPr>
            <w:tcW w:type="dxa" w:w="1440"/>
          </w:tcPr>
          <w:p>
            <w:r>
              <w:rPr>
                <w:rFonts w:ascii="Calibri" w:hAnsi="Calibri"/>
                <w:sz w:val="22"/>
              </w:rPr>
              <w:t>Disposition (Code G — Gift/Non-Economic)</w:t>
            </w:r>
          </w:p>
        </w:tc>
        <w:tc>
          <w:tcPr>
            <w:tcW w:type="dxa" w:w="1440"/>
          </w:tcPr>
          <w:p>
            <w:r>
              <w:rPr>
                <w:rFonts w:ascii="Calibri" w:hAnsi="Calibri"/>
                <w:sz w:val="22"/>
              </w:rPr>
              <w:t>700 shares</w:t>
            </w:r>
          </w:p>
        </w:tc>
        <w:tc>
          <w:tcPr>
            <w:tcW w:type="dxa" w:w="1440"/>
          </w:tcPr>
          <w:p>
            <w:r>
              <w:rPr>
                <w:rFonts w:ascii="Calibri" w:hAnsi="Calibri"/>
                <w:sz w:val="22"/>
              </w:rPr>
              <w:t>Apr 30, 2025 (filed May 1, 2026)</w:t>
            </w:r>
          </w:p>
        </w:tc>
        <w:tc>
          <w:tcPr>
            <w:tcW w:type="dxa" w:w="1440"/>
          </w:tcPr>
          <w:p>
            <w:r>
              <w:rPr>
                <w:rFonts w:ascii="Calibri" w:hAnsi="Calibri"/>
                <w:sz w:val="22"/>
              </w:rPr>
              <w:t>Non-economic disposition filed late; relates to prior period gift/transfer.</w:t>
            </w:r>
          </w:p>
        </w:tc>
      </w:tr>
    </w:tbl>
    <w:p>
      <w:r>
        <w:rPr>
          <w:rFonts w:ascii="Calibri" w:hAnsi="Calibri"/>
          <w:b/>
          <w:color w:val="525866"/>
          <w:sz w:val="22"/>
        </w:rPr>
        <w:t xml:space="preserve">Open-Market Buys (Code P): </w:t>
      </w:r>
      <w:r>
        <w:rPr>
          <w:rFonts w:ascii="Calibri" w:hAnsi="Calibri"/>
          <w:color w:val="525866"/>
          <w:sz w:val="22"/>
        </w:rPr>
        <w:t>None in the period.</w:t>
      </w:r>
    </w:p>
    <w:p>
      <w:r>
        <w:rPr>
          <w:rFonts w:ascii="Calibri" w:hAnsi="Calibri"/>
          <w:b/>
          <w:color w:val="525866"/>
          <w:sz w:val="22"/>
        </w:rPr>
        <w:t xml:space="preserve">Open-Market Sales (Code S): </w:t>
      </w:r>
      <w:r>
        <w:rPr>
          <w:rFonts w:ascii="Calibri" w:hAnsi="Calibri"/>
          <w:color w:val="525866"/>
          <w:sz w:val="22"/>
        </w:rPr>
        <w:t>None in the period.</w:t>
      </w:r>
    </w:p>
    <w:p>
      <w:r>
        <w:rPr>
          <w:rFonts w:ascii="Calibri" w:hAnsi="Calibri"/>
          <w:b/>
          <w:color w:val="525866"/>
          <w:sz w:val="22"/>
        </w:rPr>
        <w:t xml:space="preserve">10b5-1 Plan Initiations: </w:t>
      </w:r>
      <w:r>
        <w:rPr>
          <w:rFonts w:ascii="Calibri" w:hAnsi="Calibri"/>
          <w:color w:val="525866"/>
          <w:sz w:val="22"/>
        </w:rPr>
        <w:t>None disclosed in the period.</w:t>
      </w:r>
    </w:p>
    <w:p>
      <w:r>
        <w:rPr>
          <w:rFonts w:ascii="Calibri" w:hAnsi="Calibri"/>
          <w:b/>
          <w:color w:val="525866"/>
          <w:sz w:val="22"/>
        </w:rPr>
        <w:t xml:space="preserve">Analysis: </w:t>
      </w:r>
      <w:r>
        <w:rPr>
          <w:rFonts w:ascii="Calibri" w:hAnsi="Calibri"/>
          <w:color w:val="525866"/>
          <w:sz w:val="22"/>
        </w:rPr>
        <w:t>All transactions since the Q1 earnings date are non-economic — gifts (Code G), compensation grants (Code A), and OP unit conversions (Code C). There are zero open-market buys or sells (Codes P/S). The absence of discretionary selling by CEO Mitra Shankh despite the stock reaching all-time highs (~$252 vs. ~$210 at Q1 earnings) is a mild positive signal. This is consistent with WELL's RIDEA 6.0 compensation philosophy, which ties executive wealth creation to long-term stock performance and reduces the need for near-term liquidity sales.</w:t>
      </w:r>
    </w:p>
    <w:p>
      <w:r>
        <w:rPr>
          <w:rFonts w:ascii="Calibri" w:hAnsi="Calibri"/>
          <w:i/>
          <w:color w:val="525866"/>
          <w:sz w:val="22"/>
        </w:rPr>
        <w:t>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