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WST before writing the preview. Let me gather recent earnings materials, guidance, news, and price action.Let me read the most recent quarter's transcript and release, plus the recent 8-K and price action.Let me get the Daikyo 8-K detail and check for analyst expectations/recent news.I have what I need. Here's the earnings preview.</w:t>
      </w:r>
    </w:p>
    <w:p>
      <w:r>
        <w:pict>
          <v:rect style="width:0;height:1.5pt" o:hralign="center" o:hrstd="t" o:hr="t"/>
        </w:pict>
      </w:r>
    </w:p>
    <w:bookmarkStart w:id="14" w:name="Xb373a775bc2450cfd106db28cbd6b3adca17b3d"/>
    <w:p>
      <w:pPr>
        <w:pStyle w:val="Heading1"/>
      </w:pPr>
      <w:r>
        <w:t xml:space="preserve">West Pharmaceutical Services (WST) — Q2 2026 Earnings Preview</w:t>
      </w:r>
    </w:p>
    <w:p>
      <w:pPr>
        <w:pStyle w:val="FirstParagraph"/>
      </w:pPr>
      <w:r>
        <w:rPr>
          <w:b/>
          <w:bCs/>
        </w:rPr>
        <w:t xml:space="preserve">Reports:</w:t>
      </w:r>
      <w:r>
        <w:t xml:space="preserve"> </w:t>
      </w:r>
      <w:r>
        <w:t xml:space="preserve">Thursday, July 23, 2026 (2026Q2 Earnings Call, 8:00 a.m. ET) ·</w:t>
      </w:r>
      <w:r>
        <w:t xml:space="preserve"> </w:t>
      </w:r>
      <w:r>
        <w:rPr>
          <w:b/>
          <w:bCs/>
        </w:rPr>
        <w:t xml:space="preserve">Recent price:</w:t>
      </w:r>
      <w:r>
        <w:t xml:space="preserve"> </w:t>
      </w:r>
      <w:r>
        <w:t xml:space="preserve">~$358 (7/22/26)</w:t>
      </w:r>
    </w:p>
    <w:bookmarkStart w:id="9" w:name="the-setup-high-expectations-high-price"/>
    <w:p>
      <w:pPr>
        <w:pStyle w:val="Heading2"/>
      </w:pPr>
      <w:r>
        <w:t xml:space="preserve">The setup: high expectations, high price</w:t>
      </w:r>
    </w:p>
    <w:p>
      <w:pPr>
        <w:pStyle w:val="FirstParagraph"/>
      </w:pPr>
      <w:r>
        <w:t xml:space="preserve">WST heads into this print riding one of its strongest stretches in years. The stock closed 7/22 at ~</w:t>
      </w:r>
      <m:oMath>
        <m:r>
          <m:t>358</m:t>
        </m:r>
        <m:r>
          <m:rPr>
            <m:sty m:val="p"/>
          </m:rPr>
          <m:t>,</m:t>
        </m:r>
        <m:r>
          <m:t>u</m:t>
        </m:r>
        <m:r>
          <m:t>p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30</m:t>
        </m:r>
      </m:oMath>
      <w:r>
        <w:t xml:space="preserve">276 in early January) and up **~16% just since the Q1 blowout** on 4/23 (shares jumped ~13% the day of that report and kept climbing to a fresh high near</w:t>
      </w:r>
      <w:r>
        <w:t xml:space="preserve"> </w:t>
      </w:r>
      <m:oMath>
        <m:r>
          <m:t>366</m:t>
        </m:r>
        <m:r>
          <m:t>i</m:t>
        </m:r>
        <m:r>
          <m:t>n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t>J</m:t>
        </m:r>
        <m:r>
          <m:t>u</m:t>
        </m:r>
        <m:r>
          <m:t>l</m:t>
        </m:r>
        <m:r>
          <m:t>y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A</m:t>
        </m:r>
        <m:r>
          <m:t>t</m:t>
        </m:r>
        <m:r>
          <m:t>t</m:t>
        </m:r>
        <m:r>
          <m:t>h</m:t>
        </m:r>
        <m:r>
          <m:t>e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t>o</m:t>
        </m:r>
        <m:r>
          <m:t>f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rPr>
            <m:sty m:val="p"/>
          </m:rPr>
          <m:t>(</m:t>
        </m:r>
        <m:r>
          <m:t> </m:t>
        </m:r>
      </m:oMath>
      <w:r>
        <w:t xml:space="preserve">8.57 adjusted EPS), the stock trades around **~42x forward earnings** — a premium multiple that leaves little room for disappointment and raises the bar on both the print and any guidance revision.</w:t>
      </w:r>
    </w:p>
    <w:p>
      <w:pPr>
        <w:pStyle w:val="BodyText"/>
      </w:pPr>
      <w:r>
        <w:t xml:space="preserve">The bar is high for a reason: management delivered a</w:t>
      </w:r>
      <w:r>
        <w:t xml:space="preserve"> </w:t>
      </w:r>
      <w:r>
        <w:rPr>
          <w:i/>
          <w:iCs/>
        </w:rPr>
        <w:t xml:space="preserve">45% beat</w:t>
      </w:r>
      <w:r>
        <w:t xml:space="preserve"> </w:t>
      </w:r>
      <w:r>
        <w:t xml:space="preserve">versus the midpoint of its own Q1 EPS guide, and the company has topped Street EPS estimates for four straight quarters. Expectations are now that West keeps the momentum going.</w:t>
      </w:r>
    </w:p>
    <w:bookmarkEnd w:id="9"/>
    <w:bookmarkStart w:id="10" w:name="what-consensus-and-guidance-imply-for-q2"/>
    <w:p>
      <w:pPr>
        <w:pStyle w:val="Heading2"/>
      </w:pPr>
      <w:r>
        <w:t xml:space="preserve">What consensus and guidance imply for Q2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Q2 guidance (given 4/23):</w:t>
      </w:r>
      <w:r>
        <w:t xml:space="preserve"> </w:t>
      </w:r>
      <w:r>
        <w:t xml:space="preserve">Revenue</w:t>
      </w:r>
      <w:r>
        <w:t xml:space="preserve"> </w:t>
      </w:r>
      <m:oMath>
        <m:r>
          <m:t>830</m:t>
        </m:r>
        <m:r>
          <m:rPr>
            <m:sty m:val="p"/>
          </m:rPr>
          <m:t>–</m:t>
        </m:r>
        <m:r>
          <m:t>850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rPr>
            <m:sty m:val="p"/>
          </m:rPr>
          <m:t>+</m:t>
        </m:r>
        <m:r>
          <m:t>8.3</m:t>
        </m:r>
        <m:r>
          <m:rPr>
            <m:sty m:val="p"/>
          </m:rPr>
          <m:t>–</m:t>
        </m:r>
        <m:r>
          <m:t>10.9</m:t>
        </m:r>
      </m:oMath>
      <w:r>
        <w:rPr>
          <w:b/>
          <w:bCs/>
        </w:rPr>
        <w:t xml:space="preserve">2.05–2.12</w:t>
      </w:r>
      <w:r>
        <w:t xml:space="preserve"> </w:t>
      </w:r>
      <w:r>
        <w:t xml:space="preserve">(+11.4–15.2% y/y, off a ~$1.84 prior-year base).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Street consensus:</w:t>
      </w:r>
      <w:r>
        <w:t xml:space="preserve"> </w:t>
      </w:r>
      <w:r>
        <w:t xml:space="preserve">roughly</w:t>
      </w:r>
      <w:r>
        <w:t xml:space="preserve"> </w:t>
      </w:r>
      <m:oMath>
        <m:r>
          <m:t>2.08</m:t>
        </m:r>
        <m:r>
          <m:t>E</m:t>
        </m:r>
        <m:r>
          <m:t>P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rPr>
          <w:b/>
          <w:bCs/>
        </w:rPr>
        <w:t xml:space="preserve">840M</w:t>
      </w:r>
      <w:r>
        <w:t xml:space="preserve"> </w:t>
      </w:r>
      <w:r>
        <w:t xml:space="preserve">revenue — squarely inside the guided range. A simple in-line quarter likely won't move the stock; the debate is about the size of the beat and the FY raise.</w:t>
      </w:r>
    </w:p>
    <w:p>
      <w:pPr>
        <w:pStyle w:val="Compact"/>
        <w:numPr>
          <w:ilvl w:val="0"/>
          <w:numId w:val="1001"/>
        </w:numPr>
      </w:pPr>
      <w:r>
        <w:t xml:space="preserve">FX is a modest ~1.3-point tailwind to Q2 reported growth on current rates.</w:t>
      </w:r>
    </w:p>
    <w:bookmarkEnd w:id="10"/>
    <w:bookmarkStart w:id="11" w:name="full-year-framing-raised-at-q1"/>
    <w:p>
      <w:pPr>
        <w:pStyle w:val="Heading2"/>
      </w:pPr>
      <w:r>
        <w:t xml:space="preserve">Full-year framing (raised at Q1)</w:t>
      </w:r>
    </w:p>
    <w:p>
      <w:pPr>
        <w:pStyle w:val="FirstParagraph"/>
      </w:pPr>
      <w:r>
        <w:t xml:space="preserve">After Q1, West lifted FY26 guidance to</w:t>
      </w:r>
      <w:r>
        <w:t xml:space="preserve"> </w:t>
      </w:r>
      <w:r>
        <w:rPr>
          <w:b/>
          <w:bCs/>
        </w:rPr>
        <w:t xml:space="preserve">revenue of $3.295–3.350B</w:t>
      </w:r>
      <w:r>
        <w:t xml:space="preserve"> </w:t>
      </w:r>
      <w:r>
        <w:t xml:space="preserve">(organic</w:t>
      </w:r>
      <w:r>
        <w:t xml:space="preserve"> </w:t>
      </w:r>
      <w:r>
        <w:rPr>
          <w:b/>
          <w:bCs/>
        </w:rPr>
        <w:t xml:space="preserve">7–9%</w:t>
      </w:r>
      <w:r>
        <w:t xml:space="preserve">, back to its long-term construct from a prior 5–7%) and</w:t>
      </w:r>
      <w:r>
        <w:t xml:space="preserve"> </w:t>
      </w:r>
      <w:r>
        <w:rPr>
          <w:b/>
          <w:bCs/>
        </w:rPr>
        <w:t xml:space="preserve">adjusted EPS of $8.40–8.75</w:t>
      </w:r>
      <w:r>
        <w:t xml:space="preserve"> </w:t>
      </w:r>
      <w:r>
        <w:t xml:space="preserve">(from $7.85–8.20). Key question for the call:</w:t>
      </w:r>
      <w:r>
        <w:t xml:space="preserve"> </w:t>
      </w:r>
      <w:r>
        <w:rPr>
          <w:b/>
          <w:bCs/>
        </w:rPr>
        <w:t xml:space="preserve">does West raise again?</w:t>
      </w:r>
      <w:r>
        <w:t xml:space="preserve"> </w:t>
      </w:r>
      <w:r>
        <w:t xml:space="preserve">Management explicitly framed the guide as "prudent" with three quarters to go, and the year is now more first-half-weighted than usual — partly by design (see West Vantage below). Any FY raise, especially on EPS, would be the headline.</w:t>
      </w:r>
    </w:p>
    <w:bookmarkEnd w:id="11"/>
    <w:bookmarkStart w:id="12" w:name="key-things-to-watch"/>
    <w:p>
      <w:pPr>
        <w:pStyle w:val="Heading2"/>
      </w:pPr>
      <w:r>
        <w:t xml:space="preserve">Key things to watch</w:t>
      </w:r>
    </w:p>
    <w:p>
      <w:pPr>
        <w:pStyle w:val="FirstParagraph"/>
      </w:pPr>
      <w:r>
        <w:rPr>
          <w:b/>
          <w:bCs/>
        </w:rPr>
        <w:t xml:space="preserve">1. HVP Components — the growth engine (48% of sales).</w:t>
      </w:r>
      <w:r>
        <w:t xml:space="preserve"> </w:t>
      </w:r>
      <w:r>
        <w:t xml:space="preserve">This grew ~23% organic in Q1 and is guided to low-to-mid-teens organic for the year (~7 pts of total company growth). Watch the split: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GLP-1 components (~10% of total sales):</w:t>
      </w:r>
      <w:r>
        <w:t xml:space="preserve"> </w:t>
      </w:r>
      <w:r>
        <w:t xml:space="preserve">guided mid-to-high-teens growth. Management's thesis is that oral GLP-1s</w:t>
      </w:r>
      <w:r>
        <w:t xml:space="preserve"> </w:t>
      </w:r>
      <w:r>
        <w:rPr>
          <w:i/>
          <w:iCs/>
        </w:rPr>
        <w:t xml:space="preserve">expand</w:t>
      </w:r>
      <w:r>
        <w:t xml:space="preserve"> </w:t>
      </w:r>
      <w:r>
        <w:t xml:space="preserve">the market rather than cannibalize injectables. Any commentary on order patterns, oral adoption, ex-U.S. generic launches, and destocking risk is the single most scrutinized data point.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Non-GLP-1 components:</w:t>
      </w:r>
      <w:r>
        <w:t xml:space="preserve"> </w:t>
      </w:r>
      <w:r>
        <w:t xml:space="preserve">the standout in Q1 (high-teens growth, biologics +26%), and management said non-GLP-1 drove two-thirds of the outperformance. Look for confirmation this durable, "boring" growth is sustaining — it's what de-risks the GLP-1 narrative.</w:t>
      </w:r>
    </w:p>
    <w:p>
      <w:pPr>
        <w:pStyle w:val="FirstParagraph"/>
      </w:pPr>
      <w:r>
        <w:rPr>
          <w:b/>
          <w:bCs/>
        </w:rPr>
        <w:t xml:space="preserve">2. Annex 1 / HVP conversion.</w:t>
      </w:r>
      <w:r>
        <w:t xml:space="preserve"> </w:t>
      </w:r>
      <w:r>
        <w:t xml:space="preserve">Up 66% y/y in Q1 and framed as a ~200 bps multi-year revenue tailwind, targeting a ~6 billion-unit conversion opportunity. The upside optionality is geographic expansion beyond Europe — management flagged growing FDA/sterility-driven interest in the</w:t>
      </w:r>
      <w:r>
        <w:t xml:space="preserve"> </w:t>
      </w:r>
      <w:r>
        <w:rPr>
          <w:b/>
          <w:bCs/>
        </w:rPr>
        <w:t xml:space="preserve">U.S.</w:t>
      </w:r>
      <w:r>
        <w:t xml:space="preserve"> </w:t>
      </w:r>
      <w:r>
        <w:t xml:space="preserve">and Asia, plus onshoring-driven standardization. Watch for any sign this is broadening.</w:t>
      </w:r>
    </w:p>
    <w:p>
      <w:pPr>
        <w:pStyle w:val="BodyText"/>
      </w:pPr>
      <w:r>
        <w:rPr>
          <w:b/>
          <w:bCs/>
        </w:rPr>
        <w:t xml:space="preserve">3. Margins.</w:t>
      </w:r>
      <w:r>
        <w:t xml:space="preserve"> </w:t>
      </w:r>
      <w:r>
        <w:t xml:space="preserve">Adjusted operating margin was 21.4% in Q1 (+350 bps y/y), helped by favorable mix (NovaPure, biologics) and operational-excellence gains at European HVP plants (Eschweiler/Waterford) now being transferred to U.S. sites (Kinston, Jersey Shore). Management guided Q2 margins</w:t>
      </w:r>
      <w:r>
        <w:t xml:space="preserve"> </w:t>
      </w:r>
      <w:r>
        <w:rPr>
          <w:b/>
          <w:bCs/>
        </w:rPr>
        <w:t xml:space="preserve">roughly flat vs. Q1 (~21.4%)</w:t>
      </w:r>
      <w:r>
        <w:t xml:space="preserve"> </w:t>
      </w:r>
      <w:r>
        <w:t xml:space="preserve">with a</w:t>
      </w:r>
      <w:r>
        <w:t xml:space="preserve"> </w:t>
      </w:r>
      <w:r>
        <w:rPr>
          <w:b/>
          <w:bCs/>
        </w:rPr>
        <w:t xml:space="preserve">meaningful second-half step-up</w:t>
      </w:r>
      <w:r>
        <w:t xml:space="preserve">, and ~+50 bps to the full-year vs. the prior guide. Offset to watch:</w:t>
      </w:r>
      <w:r>
        <w:t xml:space="preserve"> </w:t>
      </w:r>
      <w:r>
        <w:rPr>
          <w:b/>
          <w:bCs/>
        </w:rPr>
        <w:t xml:space="preserve">higher oil/commodity/logistics costs</w:t>
      </w:r>
      <w:r>
        <w:t xml:space="preserve">, which West expects to net to only "single-digit millions" after mitigation (hedging, pricing). Any erosion of the mitigation story matters.</w:t>
      </w:r>
    </w:p>
    <w:p>
      <w:pPr>
        <w:pStyle w:val="BodyText"/>
      </w:pPr>
      <w:r>
        <w:rPr>
          <w:b/>
          <w:bCs/>
        </w:rPr>
        <w:t xml:space="preserve">4. SmartDose 3.5mL divestiture to AbbVie.</w:t>
      </w:r>
      <w:r>
        <w:t xml:space="preserve"> </w:t>
      </w:r>
      <w:r>
        <w:t xml:space="preserve">Guidance assumes a</w:t>
      </w:r>
      <w:r>
        <w:t xml:space="preserve"> </w:t>
      </w:r>
      <w:r>
        <w:rPr>
          <w:b/>
          <w:bCs/>
        </w:rPr>
        <w:t xml:space="preserve">mid-year close</w:t>
      </w:r>
      <w:r>
        <w:t xml:space="preserve">. Confirmation (or slippage) is a discrete catalyst. Recall SmartDose 3.5 pulled forward revenue in Q1 "in anticipation of the transaction," so watch for a related step-down and clean commentary on the organic bridge. (SmartDose 3.5 generated $55M in 2H25, excluded from organic comps.)</w:t>
      </w:r>
    </w:p>
    <w:p>
      <w:pPr>
        <w:pStyle w:val="BodyText"/>
      </w:pPr>
      <w:r>
        <w:rPr>
          <w:b/>
          <w:bCs/>
        </w:rPr>
        <w:t xml:space="preserve">5. West Vantage (renamed CDMO segment, 18% of sales).</w:t>
      </w:r>
      <w:r>
        <w:t xml:space="preserve"> </w:t>
      </w:r>
      <w:r>
        <w:t xml:space="preserve">Grew 6.2% organic in Q1. Guidance is roughly</w:t>
      </w:r>
      <w:r>
        <w:t xml:space="preserve"> </w:t>
      </w:r>
      <w:r>
        <w:rPr>
          <w:b/>
          <w:bCs/>
        </w:rPr>
        <w:t xml:space="preserve">flat for the year</w:t>
      </w:r>
      <w:r>
        <w:t xml:space="preserve">, front-half-loaded because of a **~</w:t>
      </w:r>
      <m:oMath>
        <m:r>
          <m:t>40</m:t>
        </m:r>
        <m:r>
          <m:t>M</m:t>
        </m:r>
        <m:r>
          <m:t>s</m:t>
        </m:r>
        <m:r>
          <m:t>e</m:t>
        </m:r>
        <m:r>
          <m:t>c</m:t>
        </m:r>
        <m:r>
          <m:t>o</m:t>
        </m:r>
        <m:r>
          <m:t>n</m:t>
        </m:r>
        <m:r>
          <m:t>d</m:t>
        </m:r>
        <m:r>
          <m:rPr>
            <m:sty m:val="p"/>
          </m:rPr>
          <m:t>−</m:t>
        </m:r>
        <m:r>
          <m:t>h</m:t>
        </m:r>
        <m:r>
          <m:t>a</m:t>
        </m:r>
        <m:r>
          <m:t>l</m:t>
        </m:r>
        <m:r>
          <m:t>f</m:t>
        </m:r>
        <m:r>
          <m:t>h</m:t>
        </m:r>
        <m:r>
          <m:t>e</m:t>
        </m:r>
        <m:r>
          <m:t>a</m:t>
        </m:r>
        <m:r>
          <m:t>d</m:t>
        </m:r>
        <m:r>
          <m:t>w</m:t>
        </m:r>
        <m:r>
          <m:t>i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f</m:t>
        </m:r>
        <m:r>
          <m:t>r</m:t>
        </m:r>
        <m:r>
          <m:t>o</m:t>
        </m:r>
        <m:r>
          <m:t>m</m:t>
        </m:r>
        <m:r>
          <m:t>t</m:t>
        </m:r>
        <m:r>
          <m:t>h</m:t>
        </m:r>
        <m:r>
          <m:t>e</m:t>
        </m:r>
        <m:r>
          <m:t>r</m:t>
        </m:r>
        <m:r>
          <m:t>o</m:t>
        </m:r>
        <m:r>
          <m:t>l</m:t>
        </m:r>
        <m:r>
          <m:t>l</m:t>
        </m:r>
        <m:r>
          <m:t>i</m:t>
        </m:r>
        <m:r>
          <m:t>n</m:t>
        </m:r>
        <m:r>
          <m:t>g</m:t>
        </m:r>
        <m:r>
          <m:rPr>
            <m:sty m:val="p"/>
          </m:rPr>
          <m:t>−</m:t>
        </m:r>
        <m:r>
          <m:t>o</m:t>
        </m:r>
        <m:r>
          <m:t>f</m:t>
        </m:r>
        <m:r>
          <m:t>f</m:t>
        </m:r>
        <m:r>
          <m:t>C</m:t>
        </m:r>
        <m:r>
          <m:t>G</m:t>
        </m:r>
        <m:r>
          <m:t>M</m:t>
        </m:r>
        <m:r>
          <m:t>c</m:t>
        </m:r>
        <m:r>
          <m:t>o</m:t>
        </m:r>
        <m:r>
          <m:t>n</m:t>
        </m:r>
        <m:r>
          <m:t>t</m:t>
        </m:r>
        <m:r>
          <m:t>r</m:t>
        </m:r>
        <m:r>
          <m:t>a</m:t>
        </m:r>
        <m:r>
          <m:t>c</m:t>
        </m:r>
        <m:r>
          <m:t>t</m:t>
        </m:r>
        <m:r>
          <m:rPr>
            <m:sty m:val="p"/>
          </m:rPr>
          <m:t>(</m:t>
        </m:r>
        <m:r>
          <m:t>Q</m:t>
        </m:r>
        <m:r>
          <m:t>3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t</m:t>
        </m:r>
        <m:r>
          <m:t>o</m:t>
        </m:r>
        <m:r>
          <m:t>b</m:t>
        </m:r>
        <m:r>
          <m:t>e</m:t>
        </m:r>
        <m:r>
          <m:t>t</m:t>
        </m:r>
        <m:r>
          <m:t>h</m:t>
        </m:r>
        <m:r>
          <m:t>e</m:t>
        </m:r>
        <m:r>
          <m:t>t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O</m:t>
        </m:r>
        <m:r>
          <m:t>f</m:t>
        </m:r>
        <m:r>
          <m:t>f</m:t>
        </m:r>
        <m:r>
          <m:t>s</m:t>
        </m:r>
        <m:r>
          <m:t>e</m:t>
        </m:r>
        <m:r>
          <m:t>t</m:t>
        </m:r>
        <m:r>
          <m:t>t</m:t>
        </m:r>
        <m:r>
          <m:t>i</m:t>
        </m:r>
        <m:r>
          <m:t>n</m:t>
        </m:r>
        <m:r>
          <m:t>g</m:t>
        </m:r>
        <m:r>
          <m:t>i</m:t>
        </m:r>
        <m:r>
          <m:t>s</m:t>
        </m:r>
        <m:r>
          <m:t>t</m:t>
        </m:r>
        <m:r>
          <m:t>h</m:t>
        </m:r>
        <m:r>
          <m:t>e</m:t>
        </m:r>
        <m:r>
          <m:t>h</m:t>
        </m:r>
        <m:r>
          <m:t>i</m:t>
        </m:r>
        <m:r>
          <m:t>g</m:t>
        </m:r>
        <m:r>
          <m:t>h</m:t>
        </m:r>
        <m:r>
          <m:t>e</m:t>
        </m:r>
        <m:r>
          <m:t>r</m:t>
        </m:r>
        <m:r>
          <m:rPr>
            <m:sty m:val="p"/>
          </m:rPr>
          <m:t>−</m:t>
        </m:r>
        <m:r>
          <m:t>m</m:t>
        </m:r>
        <m:r>
          <m:t>a</m:t>
        </m:r>
        <m:r>
          <m:t>r</m:t>
        </m:r>
        <m:r>
          <m:t>g</m:t>
        </m:r>
        <m:r>
          <m:t>i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d</m:t>
        </m:r>
        <m:r>
          <m:t>r</m:t>
        </m:r>
        <m:r>
          <m:t>u</m:t>
        </m:r>
        <m:r>
          <m:t>g</m:t>
        </m:r>
        <m:r>
          <m:rPr>
            <m:sty m:val="p"/>
          </m:rPr>
          <m:t>−</m:t>
        </m:r>
        <m:r>
          <m:t>h</m:t>
        </m:r>
        <m:r>
          <m:t>a</m:t>
        </m:r>
        <m:r>
          <m:t>n</m:t>
        </m:r>
        <m:r>
          <m:t>d</m:t>
        </m:r>
        <m:r>
          <m:t>l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r</m:t>
        </m:r>
        <m:r>
          <m:t>a</m:t>
        </m:r>
        <m:r>
          <m:t>m</m:t>
        </m:r>
        <m:r>
          <m:t>p</m:t>
        </m:r>
        <m:r>
          <m:t>a</m:t>
        </m:r>
        <m:r>
          <m:t>t</m:t>
        </m:r>
        <m:r>
          <m:t>t</m:t>
        </m:r>
        <m:r>
          <m:t>h</m:t>
        </m:r>
        <m:r>
          <m:t>e</m:t>
        </m:r>
        <m:r>
          <m:t>n</m:t>
        </m:r>
        <m:r>
          <m:t>e</m:t>
        </m:r>
        <m:r>
          <m:t>w</m:t>
        </m:r>
        <m:r>
          <m:t>D</m:t>
        </m:r>
        <m:r>
          <m:t>u</m:t>
        </m:r>
        <m:r>
          <m:t>b</m:t>
        </m:r>
        <m:r>
          <m:t>l</m:t>
        </m:r>
        <m:r>
          <m:t>i</m:t>
        </m:r>
        <m:r>
          <m:t>n</m:t>
        </m:r>
        <m:r>
          <m:t>s</m:t>
        </m:r>
        <m:r>
          <m:t>i</m:t>
        </m:r>
        <m:r>
          <m:t>t</m:t>
        </m:r>
        <m:r>
          <m:t>e</m:t>
        </m:r>
        <m:r>
          <m:rPr>
            <m:sty m:val="p"/>
          </m:rPr>
          <m:t>(</m:t>
        </m:r>
        <m:r>
          <m:t> </m:t>
        </m:r>
      </m:oMath>
      <w:r>
        <w:t xml:space="preserve">20M this year, mostly 2H; management sees ~3x that at peak in 2027 at ~2x current gross margin). Watch the Dublin backfill and drug-handling traction.</w:t>
      </w:r>
    </w:p>
    <w:p>
      <w:pPr>
        <w:pStyle w:val="BodyText"/>
      </w:pPr>
      <w:r>
        <w:rPr>
          <w:b/>
          <w:bCs/>
        </w:rPr>
        <w:t xml:space="preserve">6. CEO succession — the wildcard.</w:t>
      </w:r>
      <w:r>
        <w:t xml:space="preserve"> </w:t>
      </w:r>
      <w:r>
        <w:t xml:space="preserve">On the Q1 call, Chairman/President/CEO</w:t>
      </w:r>
      <w:r>
        <w:t xml:space="preserve"> </w:t>
      </w:r>
      <w:r>
        <w:rPr>
          <w:b/>
          <w:bCs/>
        </w:rPr>
        <w:t xml:space="preserve">Eric Green confirmed he is retiring</w:t>
      </w:r>
      <w:r>
        <w:t xml:space="preserve">, with a successor expected to be</w:t>
      </w:r>
      <w:r>
        <w:t xml:space="preserve"> </w:t>
      </w:r>
      <w:r>
        <w:rPr>
          <w:b/>
          <w:bCs/>
        </w:rPr>
        <w:t xml:space="preserve">named in 2H26</w:t>
      </w:r>
      <w:r>
        <w:t xml:space="preserve">. An announcement could come on or around this call and is a real swing factor for a stock priced for continued flawless execution.</w:t>
      </w:r>
    </w:p>
    <w:p>
      <w:pPr>
        <w:pStyle w:val="BodyText"/>
      </w:pPr>
      <w:r>
        <w:rPr>
          <w:b/>
          <w:bCs/>
        </w:rPr>
        <w:t xml:space="preserve">7. Capital returns.</w:t>
      </w:r>
      <w:r>
        <w:t xml:space="preserve"> </w:t>
      </w:r>
      <w:r>
        <w:t xml:space="preserve">The board authorized a</w:t>
      </w:r>
      <w:r>
        <w:t xml:space="preserve"> </w:t>
      </w:r>
      <w:r>
        <w:rPr>
          <w:b/>
          <w:bCs/>
        </w:rPr>
        <w:t xml:space="preserve">new</w:t>
      </w:r>
      <w:r>
        <w:rPr>
          <w:b/>
          <w:bCs/>
        </w:rPr>
        <w:t xml:space="preserve"> </w:t>
      </w:r>
      <m:oMath>
        <m:r>
          <m:t>1</m:t>
        </m:r>
        <m:r>
          <m:t>B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;</m:t>
        </m:r>
        <m:r>
          <m:t>W</m:t>
        </m:r>
        <m:r>
          <m:t>e</m:t>
        </m:r>
        <m:r>
          <m:t>s</m:t>
        </m:r>
        <m:r>
          <m:t>t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298M</w:t>
      </w:r>
      <w:r>
        <w:t xml:space="preserve"> </w:t>
      </w:r>
      <w:r>
        <w:t xml:space="preserve">(1.2M shares at ~$244) in Q1 alone and ended the quarter with</w:t>
      </w:r>
      <w:r>
        <w:t xml:space="preserve"> </w:t>
      </w:r>
      <m:oMath>
        <m:r>
          <m:t>521</m:t>
        </m:r>
        <m:r>
          <m:t>M</m:t>
        </m:r>
        <m:r>
          <m:t>c</m:t>
        </m:r>
        <m:r>
          <m:t>a</m:t>
        </m:r>
        <m:r>
          <m:t>s</m:t>
        </m:r>
        <m:r>
          <m:t>h</m:t>
        </m:r>
        <m:r>
          <m:t>a</m:t>
        </m:r>
        <m:r>
          <m:t>n</m:t>
        </m:r>
        <m:r>
          <m:t>d</m:t>
        </m:r>
        <m:r>
          <m:t>a</m:t>
        </m:r>
        <m:r>
          <m:t>l</m:t>
        </m:r>
        <m:r>
          <m:t>i</m:t>
        </m:r>
        <m:r>
          <m:t>g</m:t>
        </m:r>
        <m:r>
          <m:t>h</m:t>
        </m:r>
        <m:r>
          <m:t>t</m:t>
        </m:r>
        <m:r>
          <m:t>l</m:t>
        </m:r>
        <m:r>
          <m:t>y</m:t>
        </m:r>
        <m:r>
          <m:t>l</m:t>
        </m:r>
        <m:r>
          <m:t>e</m:t>
        </m:r>
        <m:r>
          <m:t>v</m:t>
        </m:r>
        <m:r>
          <m:t>e</m:t>
        </m:r>
        <m:r>
          <m:t>r</m:t>
        </m:r>
        <m:r>
          <m:t>e</m:t>
        </m:r>
        <m:r>
          <m:t>d</m:t>
        </m:r>
        <m:r>
          <m:t>b</m:t>
        </m:r>
        <m:r>
          <m:t>a</m:t>
        </m:r>
        <m:r>
          <m:t>l</m:t>
        </m:r>
        <m:r>
          <m:t>a</m:t>
        </m:r>
        <m:r>
          <m:t>n</m:t>
        </m:r>
        <m:r>
          <m:t>c</m:t>
        </m:r>
        <m:r>
          <m:t>e</m:t>
        </m:r>
        <m:r>
          <m:t>s</m:t>
        </m:r>
        <m:r>
          <m:t>h</m:t>
        </m:r>
        <m:r>
          <m:t>e</m:t>
        </m:r>
        <m:r>
          <m:t>e</m:t>
        </m:r>
        <m:r>
          <m:t>t</m:t>
        </m:r>
        <m:r>
          <m:rPr>
            <m:sty m:val="p"/>
          </m:rPr>
          <m:t>(</m:t>
        </m:r>
      </m:oMath>
      <w:r>
        <w:t xml:space="preserve">203M long-term debt). Expect continued opportunistic repurchases — though buying near all-time highs is less accretive than the Q1 buying was.</w:t>
      </w:r>
    </w:p>
    <w:p>
      <w:pPr>
        <w:pStyle w:val="BodyText"/>
      </w:pPr>
      <w:r>
        <w:rPr>
          <w:b/>
          <w:bCs/>
        </w:rPr>
        <w:t xml:space="preserve">8. Daikyo agreements renewed (7/14/26).</w:t>
      </w:r>
      <w:r>
        <w:t xml:space="preserve"> </w:t>
      </w:r>
      <w:r>
        <w:t xml:space="preserve">West and its 49%-owned affiliate Daikyo Seiko renewed their cross-license and two distributorship agreements on substantially similar terms for a</w:t>
      </w:r>
      <w:r>
        <w:t xml:space="preserve"> </w:t>
      </w:r>
      <w:r>
        <w:rPr>
          <w:b/>
          <w:bCs/>
        </w:rPr>
        <w:t xml:space="preserve">10-year term</w:t>
      </w:r>
      <w:r>
        <w:t xml:space="preserve">. This is a quiet de-risker for the Crystal Zenith franchise and West's exclusive ex-Japan distribution rights — not a needle-mover for the quarter but removes a structural overhang.</w:t>
      </w:r>
    </w:p>
    <w:bookmarkEnd w:id="12"/>
    <w:bookmarkStart w:id="1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fundamental story is firing on all cylinders — HVP mix shift, biologics/NovaPure, Annex 1, and operational leverage — and estimates sit comfortably within guidance. The risk is almost entirely in</w:t>
      </w:r>
      <w:r>
        <w:t xml:space="preserve"> </w:t>
      </w:r>
      <w:r>
        <w:rPr>
          <w:b/>
          <w:bCs/>
        </w:rPr>
        <w:t xml:space="preserve">expectations and valuation</w:t>
      </w:r>
      <w:r>
        <w:t xml:space="preserve">: at ~42x forward EPS near all-time highs, an in-line Q2 with a modest FY raise may already be priced in. The most likely stock-moving items are (1) the</w:t>
      </w:r>
      <w:r>
        <w:t xml:space="preserve"> </w:t>
      </w:r>
      <w:r>
        <w:rPr>
          <w:b/>
          <w:bCs/>
        </w:rPr>
        <w:t xml:space="preserve">magnitude of any full-year guidance raise</w:t>
      </w:r>
      <w:r>
        <w:t xml:space="preserve">, (2)</w:t>
      </w:r>
      <w:r>
        <w:t xml:space="preserve"> </w:t>
      </w:r>
      <w:r>
        <w:rPr>
          <w:b/>
          <w:bCs/>
        </w:rPr>
        <w:t xml:space="preserve">GLP-1 order/demand color</w:t>
      </w:r>
      <w:r>
        <w:t xml:space="preserve"> </w:t>
      </w:r>
      <w:r>
        <w:t xml:space="preserve">and destocking risk, (3) the</w:t>
      </w:r>
      <w:r>
        <w:t xml:space="preserve"> </w:t>
      </w:r>
      <w:r>
        <w:rPr>
          <w:b/>
          <w:bCs/>
        </w:rPr>
        <w:t xml:space="preserve">second-half margin ramp</w:t>
      </w:r>
      <w:r>
        <w:t xml:space="preserve"> </w:t>
      </w:r>
      <w:r>
        <w:t xml:space="preserve">holding against commodity costs, and (4) any</w:t>
      </w:r>
      <w:r>
        <w:t xml:space="preserve"> </w:t>
      </w:r>
      <w:r>
        <w:rPr>
          <w:b/>
          <w:bCs/>
        </w:rPr>
        <w:t xml:space="preserve">CEO succession</w:t>
      </w:r>
      <w:r>
        <w:t xml:space="preserve"> </w:t>
      </w:r>
      <w:r>
        <w:t xml:space="preserve">announcement. Given the back-half-weighted guide and management's "prudent" posture, a beat-and-raise is the base case bulls are paying for — anything less than a raise could pressure a richly valued stock.</w:t>
      </w:r>
    </w:p>
    <w:p>
      <w:pPr>
        <w:pStyle w:val="BodyText"/>
      </w:pPr>
      <w:r>
        <w:rPr>
          <w:i/>
          <w:iCs/>
        </w:rPr>
        <w:t xml:space="preserve">Note: figures above are drawn from West's Q1 2026 release and earnings call (4/23/26), the 7/14/26 Daikyo 8-K, market pricing through 7/22/26, and publicly reported analyst consensus (~</w:t>
      </w:r>
      <m:oMath>
        <m:r>
          <m:t>2.08</m:t>
        </m:r>
        <m:r>
          <m:t>E</m:t>
        </m:r>
        <m:r>
          <m:t>P</m:t>
        </m:r>
        <m:r>
          <m:t>S</m:t>
        </m:r>
        <m:r>
          <m:rPr>
            <m:sty m:val="p"/>
          </m:rPr>
          <m:t>/</m:t>
        </m:r>
        <m:r>
          <m:t> </m:t>
        </m:r>
      </m:oMath>
      <w:r>
        <w:rPr>
          <w:i/>
          <w:iCs/>
        </w:rPr>
        <w:t xml:space="preserve">840M revenue). Consensus figures are third-party estimates and may differ from the final tally.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2026-07-23T00:16:45Z</dcterms:created>
  <dcterms:modified xsi:type="dcterms:W3CDTF">2026-07-23T00:16:45Z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