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st-earnings-predictions--2026-07-23"/>
    <w:p>
      <w:pPr>
        <w:pStyle w:val="Heading1"/>
      </w:pPr>
      <w:r>
        <w:t xml:space="preserve">WST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~$2.20 vs. cons $2.09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Sales/Revenue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~$865M vs. cons $844M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HVP Components 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~20% vs. cons/implied ~16%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3.41B vs. cons ~$3.32B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8.75</m:t>
              </m:r>
              <m:r>
                <m:rPr>
                  <m:sty m:val="p"/>
                </m:rPr>
                <m:t>−</m:t>
              </m:r>
            </m:oMath>
            <w:r>
              <w:t xml:space="preserve">8.95 vs. cons ~$8.60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Q3/H2 2026 Adjusted Operating Margin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~21.5%-22% vs. cons ~21.5%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SmartDose/AbbVie divestiture close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~mid-2026 close (Q3) vs. cons ~mid-2026 close (Q2/Q3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Pattern from the last two quarters (July 2025 and April 2026) shows sell-side price targets and estimates get revised upward for days after beat-and-raise prints, as analysts digest HVP/GLP-1/Annex-1 durability and raise FY26/FY27 numbers further; with FY guidance likely raised again and no major implicit cut flagged (SmartDose divestiture and CGM roll-off are already known/modeled headwinds), momentum and estimate revisions should extend gains rather than fade, though elevated valuation (~48x P/E, above avg price target) caps the magnitude versus prior post-earnings gaps.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2026-07-23T00:17:07Z</dcterms:created>
  <dcterms:modified xsi:type="dcterms:W3CDTF">2026-07-23T00:17:07Z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