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wst-2026-q2-earnings-preview"/>
    <w:p>
      <w:pPr>
        <w:pStyle w:val="Heading1"/>
      </w:pPr>
      <w:r>
        <w:t xml:space="preserve">WST 2026 Q2 Earnings Preview</w:t>
      </w:r>
    </w:p>
    <w:p>
      <w:pPr>
        <w:pStyle w:val="BlockText"/>
      </w:pPr>
      <w:r>
        <w:rPr>
          <w:b/>
          <w:bCs/>
        </w:rPr>
        <w:t xml:space="preserve">Timing note:</w:t>
      </w:r>
      <w:r>
        <w:t xml:space="preserve"> </w:t>
      </w:r>
      <w:r>
        <w:t xml:space="preserve">West Pharmaceutical Services says it will release results</w:t>
      </w:r>
      <w:r>
        <w:t xml:space="preserve"> </w:t>
      </w:r>
      <w:r>
        <w:rPr>
          <w:b/>
          <w:bCs/>
        </w:rPr>
        <w:t xml:space="preserve">before the market opens on Thursday, July 23, 2026</w:t>
      </w:r>
      <w:r>
        <w:t xml:space="preserve">, followed by its call at</w:t>
      </w:r>
      <w:r>
        <w:t xml:space="preserve"> </w:t>
      </w:r>
      <w:r>
        <w:rPr>
          <w:b/>
          <w:bCs/>
        </w:rPr>
        <w:t xml:space="preserve">8:00 a.m. ET</w:t>
      </w:r>
      <w:r>
        <w:t xml:space="preserve">. Based on the current date, the report is</w:t>
      </w:r>
      <w:r>
        <w:t xml:space="preserve"> </w:t>
      </w:r>
      <w:r>
        <w:rPr>
          <w:b/>
          <w:bCs/>
        </w:rPr>
        <w:t xml:space="preserve">today, July 23—not tomorrow</w:t>
      </w:r>
      <w:r>
        <w:t xml:space="preserve">.</w:t>
      </w:r>
    </w:p>
    <w:bookmarkStart w:id="9" w:name="investment-setup"/>
    <w:p>
      <w:pPr>
        <w:pStyle w:val="Heading2"/>
      </w:pPr>
      <w:r>
        <w:t xml:space="preserve">Investment setup</w:t>
      </w:r>
    </w:p>
    <w:p>
      <w:pPr>
        <w:pStyle w:val="FirstParagraph"/>
      </w:pPr>
      <w:r>
        <w:t xml:space="preserve">West enters the quarter with strong fundamental momentum but an unusually high bar. First-quarter results materially exceeded expectations, prompting management to raise full-year guidance. Since that April 23 report, the shares have risen approximately</w:t>
      </w:r>
      <w:r>
        <w:t xml:space="preserve"> </w:t>
      </w:r>
      <w:r>
        <w:rPr>
          <w:b/>
          <w:bCs/>
        </w:rPr>
        <w:t xml:space="preserve">16%</w:t>
      </w:r>
      <w:r>
        <w:t xml:space="preserve">, closing July 22 at</w:t>
      </w:r>
      <w:r>
        <w:t xml:space="preserve"> </w:t>
      </w:r>
      <w:r>
        <w:rPr>
          <w:b/>
          <w:bCs/>
        </w:rPr>
        <w:t xml:space="preserve">$358.45</w:t>
      </w:r>
      <w:r>
        <w:t xml:space="preserve">.</w:t>
      </w:r>
    </w:p>
    <w:p>
      <w:pPr>
        <w:pStyle w:val="BodyText"/>
      </w:pPr>
      <w:r>
        <w:t xml:space="preserve">The complication is that West disclosed a significant cyberattack on May 4—after issuing its Q2 outlook. The upcoming report will therefore be less about whether underlying injectable-drug demand remains healthy and more about:</w:t>
      </w:r>
    </w:p>
    <w:p>
      <w:pPr>
        <w:pStyle w:val="Compact"/>
        <w:numPr>
          <w:ilvl w:val="0"/>
          <w:numId w:val="1001"/>
        </w:numPr>
      </w:pPr>
      <w:r>
        <w:t xml:space="preserve">The financial and operational effects of the cyberattack.</w:t>
      </w:r>
    </w:p>
    <w:p>
      <w:pPr>
        <w:pStyle w:val="Compact"/>
        <w:numPr>
          <w:ilvl w:val="0"/>
          <w:numId w:val="1001"/>
        </w:numPr>
      </w:pPr>
      <w:r>
        <w:t xml:space="preserve">Whether high-value product, or</w:t>
      </w:r>
      <w:r>
        <w:t xml:space="preserve"> </w:t>
      </w:r>
      <w:r>
        <w:rPr>
          <w:b/>
          <w:bCs/>
        </w:rPr>
        <w:t xml:space="preserve">HVP</w:t>
      </w:r>
      <w:r>
        <w:t xml:space="preserve">, growth remained strong despite the disruption.</w:t>
      </w:r>
    </w:p>
    <w:p>
      <w:pPr>
        <w:pStyle w:val="Compact"/>
        <w:numPr>
          <w:ilvl w:val="0"/>
          <w:numId w:val="1001"/>
        </w:numPr>
      </w:pPr>
      <w:r>
        <w:t xml:space="preserve">Whether West can preserve or raise its 2026 guidance.</w:t>
      </w:r>
    </w:p>
    <w:p>
      <w:pPr>
        <w:pStyle w:val="Compact"/>
        <w:numPr>
          <w:ilvl w:val="0"/>
          <w:numId w:val="1001"/>
        </w:numPr>
      </w:pPr>
      <w:r>
        <w:t xml:space="preserve">Whether margins support the increasingly premium valuation.</w:t>
      </w:r>
    </w:p>
    <w:p>
      <w:pPr>
        <w:pStyle w:val="FirstParagraph"/>
      </w:pPr>
      <w:r>
        <w:t xml:space="preserve">At the July 22 close, WST trades at approximately</w:t>
      </w:r>
      <w:r>
        <w:t xml:space="preserve"> </w:t>
      </w:r>
      <w:r>
        <w:rPr>
          <w:b/>
          <w:bCs/>
        </w:rPr>
        <w:t xml:space="preserve">42 times</w:t>
      </w:r>
      <w:r>
        <w:t xml:space="preserve"> </w:t>
      </w:r>
      <w:r>
        <w:t xml:space="preserve">the midpoint of current 2026 adjusted EPS guidance. A routine beat may not be enough; investors will likely want evidence that the cyber event caused only temporary disruption and that the business can continue compounding beyond the unusually strong first quarter.</w:t>
      </w:r>
    </w:p>
    <w:p>
      <w:r>
        <w:pict>
          <v:rect style="width:0;height:1.5pt" o:hralign="center" o:hrstd="t" o:hr="t"/>
        </w:pict>
      </w:r>
    </w:p>
    <w:bookmarkEnd w:id="9"/>
    <w:bookmarkStart w:id="11" w:name="published-q2-targets"/>
    <w:p>
      <w:pPr>
        <w:pStyle w:val="Heading2"/>
      </w:pPr>
      <w:r>
        <w:t xml:space="preserve">Published Q2 targets</w:t>
      </w:r>
    </w:p>
    <w:p>
      <w:pPr>
        <w:pStyle w:val="FirstParagraph"/>
      </w:pPr>
      <w:r>
        <w:t xml:space="preserve">These are management’s April 23 targets, issued before the May cyberattack:</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2026 guidance</w:t>
            </w:r>
          </w:p>
        </w:tc>
        <w:tc>
          <w:tcPr/>
          <w:p>
            <w:pPr>
              <w:pStyle w:val="Compact"/>
              <w:jc w:val="right"/>
            </w:pPr>
            <w:r>
              <w:t xml:space="preserve">Implied year-over-year growth</w:t>
            </w:r>
          </w:p>
        </w:tc>
      </w:tr>
      <w:tr>
        <w:tc>
          <w:tcPr/>
          <w:p>
            <w:pPr>
              <w:pStyle w:val="Compact"/>
            </w:pPr>
            <w:r>
              <w:t xml:space="preserve">Revenue</w:t>
            </w:r>
          </w:p>
        </w:tc>
        <w:tc>
          <w:tcPr/>
          <w:p>
            <w:pPr>
              <w:pStyle w:val="Compact"/>
              <w:jc w:val="right"/>
            </w:pPr>
            <m:oMath>
              <m:r>
                <m:t>830</m:t>
              </m:r>
              <m:r>
                <m:t>M</m:t>
              </m:r>
              <m:r>
                <m:rPr>
                  <m:sty m:val="p"/>
                </m:rPr>
                <m:t>–</m:t>
              </m:r>
            </m:oMath>
            <w:r>
              <w:rPr>
                <w:b/>
                <w:bCs/>
              </w:rPr>
              <w:t xml:space="preserve">850M</w:t>
            </w:r>
          </w:p>
        </w:tc>
        <w:tc>
          <w:tcPr/>
          <w:p>
            <w:pPr>
              <w:pStyle w:val="Compact"/>
              <w:jc w:val="right"/>
            </w:pPr>
            <w:r>
              <w:t xml:space="preserve">8.3%–10.9% reported</w:t>
            </w:r>
          </w:p>
        </w:tc>
      </w:tr>
      <w:tr>
        <w:tc>
          <w:tcPr/>
          <w:p>
            <w:pPr>
              <w:pStyle w:val="Compact"/>
            </w:pPr>
            <w:r>
              <w:t xml:space="preserve">Organic revenue growth</w:t>
            </w:r>
          </w:p>
        </w:tc>
        <w:tc>
          <w:tcPr/>
          <w:p>
            <w:pPr>
              <w:pStyle w:val="Compact"/>
              <w:jc w:val="right"/>
            </w:pPr>
            <w:r>
              <w:t xml:space="preserve">—</w:t>
            </w:r>
          </w:p>
        </w:tc>
        <w:tc>
          <w:tcPr/>
          <w:p>
            <w:pPr>
              <w:pStyle w:val="Compact"/>
              <w:jc w:val="right"/>
            </w:pPr>
            <w:r>
              <w:rPr>
                <w:b/>
                <w:bCs/>
              </w:rPr>
              <w:t xml:space="preserve">7.0%–9.6%</w:t>
            </w:r>
          </w:p>
        </w:tc>
      </w:tr>
      <w:tr>
        <w:tc>
          <w:tcPr/>
          <w:p>
            <w:pPr>
              <w:pStyle w:val="Compact"/>
            </w:pPr>
            <w:r>
              <w:t xml:space="preserve">Adjusted diluted EPS</w:t>
            </w:r>
          </w:p>
        </w:tc>
        <w:tc>
          <w:tcPr/>
          <w:p>
            <w:pPr>
              <w:pStyle w:val="Compact"/>
              <w:jc w:val="right"/>
            </w:pPr>
            <m:oMath>
              <m:r>
                <m:t>2.05</m:t>
              </m:r>
              <m:r>
                <m:rPr>
                  <m:sty m:val="p"/>
                </m:rPr>
                <m:t>–</m:t>
              </m:r>
            </m:oMath>
            <w:r>
              <w:rPr>
                <w:b/>
                <w:bCs/>
              </w:rPr>
              <w:t xml:space="preserve">2.12</w:t>
            </w:r>
          </w:p>
        </w:tc>
        <w:tc>
          <w:tcPr/>
          <w:p>
            <w:pPr>
              <w:pStyle w:val="Compact"/>
              <w:jc w:val="right"/>
            </w:pPr>
            <w:r>
              <w:t xml:space="preserve">11.4%–15.2%</w:t>
            </w:r>
          </w:p>
        </w:tc>
      </w:tr>
    </w:tbl>
    <w:p>
      <w:pPr>
        <w:pStyle w:val="BodyText"/>
      </w:pPr>
      <w:r>
        <w:t xml:space="preserve">Management also indicated that Q2 adjusted operating margin should be approximately consistent with Q1’s</w:t>
      </w:r>
      <w:r>
        <w:t xml:space="preserve"> </w:t>
      </w:r>
      <w:r>
        <w:rPr>
          <w:b/>
          <w:bCs/>
        </w:rPr>
        <w:t xml:space="preserve">21.4%</w:t>
      </w:r>
      <w:r>
        <w:t xml:space="preserve">.</w:t>
      </w:r>
    </w:p>
    <w:bookmarkStart w:id="10" w:name="current-full-year-guidance"/>
    <w:p>
      <w:pPr>
        <w:pStyle w:val="Heading3"/>
      </w:pPr>
      <w:r>
        <w:t xml:space="preserve">Current full-year guidance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2026 guidance</w:t>
            </w:r>
          </w:p>
        </w:tc>
      </w:tr>
      <w:tr>
        <w:tc>
          <w:tcPr/>
          <w:p>
            <w:pPr>
              <w:pStyle w:val="Compact"/>
            </w:pPr>
            <w:r>
              <w:t xml:space="preserve">Revenue</w:t>
            </w:r>
          </w:p>
        </w:tc>
        <w:tc>
          <w:tcPr/>
          <w:p>
            <w:pPr>
              <w:pStyle w:val="Compact"/>
              <w:jc w:val="right"/>
            </w:pPr>
            <m:oMath>
              <m:r>
                <m:t>3.295</m:t>
              </m:r>
              <m:r>
                <m:t>B</m:t>
              </m:r>
              <m:r>
                <m:rPr>
                  <m:sty m:val="p"/>
                </m:rPr>
                <m:t>–</m:t>
              </m:r>
            </m:oMath>
            <w:r>
              <w:rPr>
                <w:b/>
                <w:bCs/>
              </w:rPr>
              <w:t xml:space="preserve">3.350B</w:t>
            </w:r>
          </w:p>
        </w:tc>
      </w:tr>
      <w:tr>
        <w:tc>
          <w:tcPr/>
          <w:p>
            <w:pPr>
              <w:pStyle w:val="Compact"/>
            </w:pPr>
            <w:r>
              <w:t xml:space="preserve">Organic growth</w:t>
            </w:r>
          </w:p>
        </w:tc>
        <w:tc>
          <w:tcPr/>
          <w:p>
            <w:pPr>
              <w:pStyle w:val="Compact"/>
              <w:jc w:val="right"/>
            </w:pPr>
            <w:r>
              <w:rPr>
                <w:b/>
                <w:bCs/>
              </w:rPr>
              <w:t xml:space="preserve">7%–9%</w:t>
            </w:r>
          </w:p>
        </w:tc>
      </w:tr>
      <w:tr>
        <w:tc>
          <w:tcPr/>
          <w:p>
            <w:pPr>
              <w:pStyle w:val="Compact"/>
            </w:pPr>
            <w:r>
              <w:t xml:space="preserve">Adjusted EPS</w:t>
            </w:r>
          </w:p>
        </w:tc>
        <w:tc>
          <w:tcPr/>
          <w:p>
            <w:pPr>
              <w:pStyle w:val="Compact"/>
              <w:jc w:val="right"/>
            </w:pPr>
            <m:oMath>
              <m:r>
                <m:t>8.40</m:t>
              </m:r>
              <m:r>
                <m:rPr>
                  <m:sty m:val="p"/>
                </m:rPr>
                <m:t>–</m:t>
              </m:r>
            </m:oMath>
            <w:r>
              <w:rPr>
                <w:b/>
                <w:bCs/>
              </w:rPr>
              <w:t xml:space="preserve">8.75</w:t>
            </w:r>
          </w:p>
        </w:tc>
      </w:tr>
      <w:tr>
        <w:tc>
          <w:tcPr/>
          <w:p>
            <w:pPr>
              <w:pStyle w:val="Compact"/>
            </w:pPr>
            <w:r>
              <w:t xml:space="preserve">Capital expenditures</w:t>
            </w:r>
          </w:p>
        </w:tc>
        <w:tc>
          <w:tcPr/>
          <w:p>
            <w:pPr>
              <w:pStyle w:val="Compact"/>
              <w:jc w:val="right"/>
            </w:pPr>
            <m:oMath>
              <m:r>
                <m:t>250</m:t>
              </m:r>
              <m:r>
                <m:t>M</m:t>
              </m:r>
              <m:r>
                <m:rPr>
                  <m:sty m:val="p"/>
                </m:rPr>
                <m:t>–</m:t>
              </m:r>
            </m:oMath>
            <w:r>
              <w:rPr>
                <w:b/>
                <w:bCs/>
              </w:rPr>
              <w:t xml:space="preserve">275M</w:t>
            </w:r>
          </w:p>
        </w:tc>
      </w:tr>
      <w:tr>
        <w:tc>
          <w:tcPr/>
          <w:p>
            <w:pPr>
              <w:pStyle w:val="Compact"/>
            </w:pPr>
            <w:r>
              <w:t xml:space="preserve">Net interest income</w:t>
            </w:r>
          </w:p>
        </w:tc>
        <w:tc>
          <w:tcPr/>
          <w:p>
            <w:pPr>
              <w:pStyle w:val="Compact"/>
              <w:jc w:val="right"/>
            </w:pPr>
            <w:r>
              <w:t xml:space="preserve">Approximately</w:t>
            </w:r>
            <w:r>
              <w:t xml:space="preserve"> </w:t>
            </w:r>
            <w:r>
              <w:rPr>
                <w:b/>
                <w:bCs/>
              </w:rPr>
              <w:t xml:space="preserve">$7M</w:t>
            </w:r>
          </w:p>
        </w:tc>
      </w:tr>
      <w:tr>
        <w:tc>
          <w:tcPr/>
          <w:p>
            <w:pPr>
              <w:pStyle w:val="Compact"/>
            </w:pPr>
            <w:r>
              <w:t xml:space="preserve">Tax rate</w:t>
            </w:r>
          </w:p>
        </w:tc>
        <w:tc>
          <w:tcPr/>
          <w:p>
            <w:pPr>
              <w:pStyle w:val="Compact"/>
              <w:jc w:val="right"/>
            </w:pPr>
            <w:r>
              <w:t xml:space="preserve">Approximately</w:t>
            </w:r>
            <w:r>
              <w:t xml:space="preserve"> </w:t>
            </w:r>
            <w:r>
              <w:rPr>
                <w:b/>
                <w:bCs/>
              </w:rPr>
              <w:t xml:space="preserve">19%</w:t>
            </w:r>
          </w:p>
        </w:tc>
      </w:tr>
      <w:tr>
        <w:tc>
          <w:tcPr/>
          <w:p>
            <w:pPr>
              <w:pStyle w:val="Compact"/>
            </w:pPr>
            <w:r>
              <w:t xml:space="preserve">Diluted shares</w:t>
            </w:r>
          </w:p>
        </w:tc>
        <w:tc>
          <w:tcPr/>
          <w:p>
            <w:pPr>
              <w:pStyle w:val="Compact"/>
              <w:jc w:val="right"/>
            </w:pPr>
            <w:r>
              <w:t xml:space="preserve">Approximately</w:t>
            </w:r>
            <w:r>
              <w:t xml:space="preserve"> </w:t>
            </w:r>
            <w:r>
              <w:rPr>
                <w:b/>
                <w:bCs/>
              </w:rPr>
              <w:t xml:space="preserve">71.5M</w:t>
            </w:r>
          </w:p>
        </w:tc>
      </w:tr>
    </w:tbl>
    <w:p>
      <w:pPr>
        <w:pStyle w:val="BodyText"/>
      </w:pPr>
      <w:r>
        <w:t xml:space="preserve">For context, Q1 revenue was</w:t>
      </w:r>
      <w:r>
        <w:t xml:space="preserve"> </w:t>
      </w:r>
      <m:oMath>
        <m:r>
          <m:t>844.9</m:t>
        </m:r>
        <m:r>
          <m:t>m</m:t>
        </m:r>
        <m:r>
          <m:t>i</m:t>
        </m:r>
        <m:r>
          <m:t>l</m:t>
        </m:r>
        <m:r>
          <m:t>l</m:t>
        </m:r>
        <m:r>
          <m:t>i</m:t>
        </m:r>
        <m:r>
          <m:t>o</m:t>
        </m:r>
        <m:r>
          <m:t>n</m:t>
        </m:r>
        <m:r>
          <m:rPr>
            <m:sty m:val="p"/>
          </m:rPr>
          <m:t>*</m:t>
        </m:r>
        <m:r>
          <m:rPr>
            <m:sty m:val="p"/>
          </m:rPr>
          <m:t>*</m:t>
        </m:r>
        <m:r>
          <m:rPr>
            <m:sty m:val="p"/>
          </m:rPr>
          <m:t>,</m:t>
        </m:r>
        <m:r>
          <m:t>o</m:t>
        </m:r>
        <m:r>
          <m:t>r</m:t>
        </m:r>
        <m:r>
          <m:t>g</m:t>
        </m:r>
        <m:r>
          <m:t>a</m:t>
        </m:r>
        <m:r>
          <m:t>n</m:t>
        </m:r>
        <m:r>
          <m:t>i</m:t>
        </m:r>
        <m:r>
          <m:t>c</m:t>
        </m:r>
        <m:r>
          <m:t>g</m:t>
        </m:r>
        <m:r>
          <m:t>r</m:t>
        </m:r>
        <m:r>
          <m:t>o</m:t>
        </m:r>
        <m:r>
          <m:t>w</m:t>
        </m:r>
        <m:r>
          <m:t>t</m:t>
        </m:r>
        <m:r>
          <m:t>h</m:t>
        </m:r>
        <m:r>
          <m:t>w</m:t>
        </m:r>
        <m:r>
          <m:t>a</m:t>
        </m:r>
        <m:r>
          <m:t>s</m:t>
        </m:r>
        <m:r>
          <m:rPr>
            <m:sty m:val="p"/>
          </m:rPr>
          <m:t>*</m:t>
        </m:r>
        <m:r>
          <m:rPr>
            <m:sty m:val="p"/>
          </m:rPr>
          <m:t>*</m:t>
        </m:r>
        <m:r>
          <m:t>15.3</m:t>
        </m:r>
      </m:oMath>
      <w:r>
        <w:rPr>
          <w:b/>
          <w:bCs/>
        </w:rPr>
        <w:t xml:space="preserve">2.13</w:t>
      </w:r>
      <w:r>
        <w:t xml:space="preserve">.</w:t>
      </w:r>
    </w:p>
    <w:p>
      <w:r>
        <w:pict>
          <v:rect style="width:0;height:1.5pt" o:hralign="center" o:hrstd="t" o:hr="t"/>
        </w:pict>
      </w:r>
    </w:p>
    <w:bookmarkEnd w:id="10"/>
    <w:bookmarkEnd w:id="11"/>
    <w:bookmarkStart w:id="12" w:name="Xa27e369e8af842e3e7df1c07ee5a56225c2ca0c"/>
    <w:p>
      <w:pPr>
        <w:pStyle w:val="Heading2"/>
      </w:pPr>
      <w:r>
        <w:t xml:space="preserve">The central issue: quantifying the cyberattack</w:t>
      </w:r>
    </w:p>
    <w:p>
      <w:pPr>
        <w:pStyle w:val="FirstParagraph"/>
      </w:pPr>
      <w:r>
        <w:t xml:space="preserve">West detected a network intrusion on</w:t>
      </w:r>
      <w:r>
        <w:t xml:space="preserve"> </w:t>
      </w:r>
      <w:r>
        <w:rPr>
          <w:b/>
          <w:bCs/>
        </w:rPr>
        <w:t xml:space="preserve">May 4, 2026</w:t>
      </w:r>
      <w:r>
        <w:t xml:space="preserve"> </w:t>
      </w:r>
      <w:r>
        <w:t xml:space="preserve">and shut down or isolated affected on-premise infrastructure. In its last formal update, dated May 11, the company said the incident had temporarily disrupted global operations. Core enterprise systems had been restored, and shipping, receiving and manufacturing had restarted at some sites, with restoration of the remaining sites still underway. At that point, West had not established a timeline for complete restoration.</w:t>
      </w:r>
    </w:p>
    <w:p>
      <w:pPr>
        <w:pStyle w:val="BodyText"/>
      </w:pPr>
      <w:r>
        <w:t xml:space="preserve">This matters because the disruption began early in the second month of the quarter, while the Q2 guidance was set on April 23. The report should provide the first meaningful financial assessment.</w:t>
      </w:r>
    </w:p>
    <w:p>
      <w:pPr>
        <w:pStyle w:val="BodyText"/>
      </w:pPr>
      <w:r>
        <w:t xml:space="preserve">Investors should separate three potential effects:</w:t>
      </w:r>
    </w:p>
    <w:p>
      <w:pPr>
        <w:pStyle w:val="Compact"/>
        <w:numPr>
          <w:ilvl w:val="0"/>
          <w:numId w:val="1002"/>
        </w:numPr>
      </w:pPr>
      <w:r>
        <w:rPr>
          <w:b/>
          <w:bCs/>
        </w:rPr>
        <w:t xml:space="preserve">Revenue timing:</w:t>
      </w:r>
      <w:r>
        <w:t xml:space="preserve"> </w:t>
      </w:r>
      <w:r>
        <w:t xml:space="preserve">Orders may have been delayed rather than lost, potentially shifting sales into Q3.</w:t>
      </w:r>
    </w:p>
    <w:p>
      <w:pPr>
        <w:pStyle w:val="Compact"/>
        <w:numPr>
          <w:ilvl w:val="0"/>
          <w:numId w:val="1002"/>
        </w:numPr>
      </w:pPr>
      <w:r>
        <w:rPr>
          <w:b/>
          <w:bCs/>
        </w:rPr>
        <w:t xml:space="preserve">Manufacturing disruption:</w:t>
      </w:r>
      <w:r>
        <w:t xml:space="preserve"> </w:t>
      </w:r>
      <w:r>
        <w:t xml:space="preserve">Lost production time could restrict West’s ability to fulfill already-strong demand for HVP components.</w:t>
      </w:r>
    </w:p>
    <w:p>
      <w:pPr>
        <w:pStyle w:val="Compact"/>
        <w:numPr>
          <w:ilvl w:val="0"/>
          <w:numId w:val="1002"/>
        </w:numPr>
      </w:pPr>
      <w:r>
        <w:rPr>
          <w:b/>
          <w:bCs/>
        </w:rPr>
        <w:t xml:space="preserve">Incremental costs:</w:t>
      </w:r>
      <w:r>
        <w:t xml:space="preserve"> </w:t>
      </w:r>
      <w:r>
        <w:t xml:space="preserve">Incident response, external cybersecurity advisers, system restoration, overtime and freight costs may pressure margins.</w:t>
      </w:r>
    </w:p>
    <w:p>
      <w:pPr>
        <w:pStyle w:val="FirstParagraph"/>
      </w:pPr>
      <w:r>
        <w:t xml:space="preserve">The most constructive outcome would be modest delayed revenue, limited permanent customer impact and largely completed remediation. A more concerning result would involve extended production constraints, lost orders, customer qualification concerns or a continuing lack of visibility.</w:t>
      </w:r>
    </w:p>
    <w:p>
      <w:pPr>
        <w:pStyle w:val="BodyText"/>
      </w:pPr>
      <w:r>
        <w:t xml:space="preserve">Management’s ability to</w:t>
      </w:r>
      <w:r>
        <w:t xml:space="preserve"> </w:t>
      </w:r>
      <w:r>
        <w:rPr>
          <w:b/>
          <w:bCs/>
        </w:rPr>
        <w:t xml:space="preserve">reaffirm full-year guidance despite the incident</w:t>
      </w:r>
      <w:r>
        <w:t xml:space="preserve"> </w:t>
      </w:r>
      <w:r>
        <w:t xml:space="preserve">will probably matter more than the precise Q2 EPS result.</w:t>
      </w:r>
    </w:p>
    <w:p>
      <w:r>
        <w:pict>
          <v:rect style="width:0;height:1.5pt" o:hralign="center" o:hrstd="t" o:hr="t"/>
        </w:pict>
      </w:r>
    </w:p>
    <w:bookmarkEnd w:id="12"/>
    <w:bookmarkStart w:id="16" w:name="X750c56224d6db7b4339a6c38b97ad2d48a1b418"/>
    <w:p>
      <w:pPr>
        <w:pStyle w:val="Heading2"/>
      </w:pPr>
      <w:r>
        <w:t xml:space="preserve">HVP components remain the core earnings driver</w:t>
      </w:r>
    </w:p>
    <w:p>
      <w:pPr>
        <w:pStyle w:val="FirstParagraph"/>
      </w:pPr>
      <w:r>
        <w:t xml:space="preserve">HVP components accounted for approximately</w:t>
      </w:r>
      <w:r>
        <w:t xml:space="preserve"> </w:t>
      </w:r>
      <w:r>
        <w:rPr>
          <w:b/>
          <w:bCs/>
        </w:rPr>
        <w:t xml:space="preserve">48% of Q1 company sales</w:t>
      </w:r>
      <w:r>
        <w:t xml:space="preserve"> </w:t>
      </w:r>
      <w:r>
        <w:t xml:space="preserve">and grew</w:t>
      </w:r>
      <w:r>
        <w:t xml:space="preserve"> </w:t>
      </w:r>
      <w:r>
        <w:rPr>
          <w:b/>
          <w:bCs/>
        </w:rPr>
        <w:t xml:space="preserve">22.6% organically</w:t>
      </w:r>
      <w:r>
        <w:t xml:space="preserve">. This business is central to both revenue growth and margin expansion.</w:t>
      </w:r>
    </w:p>
    <w:bookmarkStart w:id="13" w:name="X56ec73614a1d3c81f185f4940f8d128df304d8a"/>
    <w:p>
      <w:pPr>
        <w:pStyle w:val="Heading3"/>
      </w:pPr>
      <w:r>
        <w:t xml:space="preserve">1. Non-GLP-1 demand</w:t>
      </w:r>
    </w:p>
    <w:p>
      <w:pPr>
        <w:pStyle w:val="FirstParagraph"/>
      </w:pPr>
      <w:r>
        <w:t xml:space="preserve">The strongest feature of Q1 was arguably not GLP-1 exposure but the acceleration in the rest of the HVP portfolio:</w:t>
      </w:r>
    </w:p>
    <w:p>
      <w:pPr>
        <w:pStyle w:val="Compact"/>
        <w:numPr>
          <w:ilvl w:val="0"/>
          <w:numId w:val="1003"/>
        </w:numPr>
      </w:pPr>
      <w:r>
        <w:t xml:space="preserve">Non-GLP-1 HVP revenue grew in the</w:t>
      </w:r>
      <w:r>
        <w:t xml:space="preserve"> </w:t>
      </w:r>
      <w:r>
        <w:rPr>
          <w:b/>
          <w:bCs/>
        </w:rPr>
        <w:t xml:space="preserve">high teens</w:t>
      </w:r>
      <w:r>
        <w:t xml:space="preserve">.</w:t>
      </w:r>
    </w:p>
    <w:p>
      <w:pPr>
        <w:pStyle w:val="Compact"/>
        <w:numPr>
          <w:ilvl w:val="0"/>
          <w:numId w:val="1003"/>
        </w:numPr>
      </w:pPr>
      <w:r>
        <w:t xml:space="preserve">Biologics revenue increased</w:t>
      </w:r>
      <w:r>
        <w:t xml:space="preserve"> </w:t>
      </w:r>
      <w:r>
        <w:rPr>
          <w:b/>
          <w:bCs/>
        </w:rPr>
        <w:t xml:space="preserve">26% organically</w:t>
      </w:r>
      <w:r>
        <w:t xml:space="preserve">.</w:t>
      </w:r>
    </w:p>
    <w:p>
      <w:pPr>
        <w:pStyle w:val="Compact"/>
        <w:numPr>
          <w:ilvl w:val="0"/>
          <w:numId w:val="1003"/>
        </w:numPr>
      </w:pPr>
      <w:r>
        <w:t xml:space="preserve">Management said most biologics growth came from medicines already on the market—not merely speculative pipeline programs.</w:t>
      </w:r>
    </w:p>
    <w:p>
      <w:pPr>
        <w:pStyle w:val="Compact"/>
        <w:numPr>
          <w:ilvl w:val="0"/>
          <w:numId w:val="1003"/>
        </w:numPr>
      </w:pPr>
      <w:r>
        <w:t xml:space="preserve">NovaPure demand was particularly strong.</w:t>
      </w:r>
    </w:p>
    <w:p>
      <w:pPr>
        <w:pStyle w:val="FirstParagraph"/>
      </w:pPr>
      <w:r>
        <w:t xml:space="preserve">Management raised its 2026 expectation for non-GLP-1 HVP components to</w:t>
      </w:r>
      <w:r>
        <w:t xml:space="preserve"> </w:t>
      </w:r>
      <w:r>
        <w:rPr>
          <w:b/>
          <w:bCs/>
        </w:rPr>
        <w:t xml:space="preserve">low-double-digit growth</w:t>
      </w:r>
      <w:r>
        <w:t xml:space="preserve">, representing just over five percentage points of total company growth at the midpoint.</w:t>
      </w:r>
    </w:p>
    <w:p>
      <w:pPr>
        <w:pStyle w:val="BodyText"/>
      </w:pPr>
      <w:r>
        <w:t xml:space="preserve">For Q2, investors should look for evidence that this was durable end-market demand rather than a one-quarter capacity or order-timing benefit. Continued double-digit non-GLP-1 growth would broaden the investment case beyond obesity drugs.</w:t>
      </w:r>
    </w:p>
    <w:bookmarkEnd w:id="13"/>
    <w:bookmarkStart w:id="14" w:name="Xe92ecff23a2f96138ac96596dd147e7950815db"/>
    <w:p>
      <w:pPr>
        <w:pStyle w:val="Heading3"/>
      </w:pPr>
      <w:r>
        <w:t xml:space="preserve">2. GLP-1 exposure</w:t>
      </w:r>
    </w:p>
    <w:p>
      <w:pPr>
        <w:pStyle w:val="FirstParagraph"/>
      </w:pPr>
      <w:r>
        <w:t xml:space="preserve">GLP-1 HVP components represented approximately</w:t>
      </w:r>
      <w:r>
        <w:t xml:space="preserve"> </w:t>
      </w:r>
      <w:r>
        <w:rPr>
          <w:b/>
          <w:bCs/>
        </w:rPr>
        <w:t xml:space="preserve">10% of total company sales</w:t>
      </w:r>
      <w:r>
        <w:t xml:space="preserve"> </w:t>
      </w:r>
      <w:r>
        <w:t xml:space="preserve">in Q1. Management expects this business to grow in the</w:t>
      </w:r>
      <w:r>
        <w:t xml:space="preserve"> </w:t>
      </w:r>
      <w:r>
        <w:rPr>
          <w:b/>
          <w:bCs/>
        </w:rPr>
        <w:t xml:space="preserve">mid- to high teens</w:t>
      </w:r>
      <w:r>
        <w:t xml:space="preserve"> </w:t>
      </w:r>
      <w:r>
        <w:t xml:space="preserve">in 2026.</w:t>
      </w:r>
    </w:p>
    <w:p>
      <w:pPr>
        <w:pStyle w:val="BodyText"/>
      </w:pPr>
      <w:r>
        <w:t xml:space="preserve">Important questions include:</w:t>
      </w:r>
    </w:p>
    <w:p>
      <w:pPr>
        <w:pStyle w:val="Compact"/>
        <w:numPr>
          <w:ilvl w:val="0"/>
          <w:numId w:val="1004"/>
        </w:numPr>
      </w:pPr>
      <w:r>
        <w:t xml:space="preserve">Did injectable GLP-1 component demand continue to accelerate?</w:t>
      </w:r>
    </w:p>
    <w:p>
      <w:pPr>
        <w:pStyle w:val="Compact"/>
        <w:numPr>
          <w:ilvl w:val="0"/>
          <w:numId w:val="1004"/>
        </w:numPr>
      </w:pPr>
      <w:r>
        <w:t xml:space="preserve">Are oral GLP-1 launches supplementing the injectable market rather than cannibalizing it?</w:t>
      </w:r>
    </w:p>
    <w:p>
      <w:pPr>
        <w:pStyle w:val="Compact"/>
        <w:numPr>
          <w:ilvl w:val="0"/>
          <w:numId w:val="1004"/>
        </w:numPr>
      </w:pPr>
      <w:r>
        <w:t xml:space="preserve">Is West seeing more demand from next-generation or combination therapies?</w:t>
      </w:r>
    </w:p>
    <w:p>
      <w:pPr>
        <w:pStyle w:val="Compact"/>
        <w:numPr>
          <w:ilvl w:val="0"/>
          <w:numId w:val="1004"/>
        </w:numPr>
      </w:pPr>
      <w:r>
        <w:t xml:space="preserve">Can production keep pace with customer demand?</w:t>
      </w:r>
    </w:p>
    <w:p>
      <w:pPr>
        <w:pStyle w:val="FirstParagraph"/>
      </w:pPr>
      <w:r>
        <w:t xml:space="preserve">The market already recognizes WST as an indirect GLP-1 beneficiary, so merely reiterating the long-term opportunity may have limited impact. Actual growth and capacity execution will matter more.</w:t>
      </w:r>
    </w:p>
    <w:bookmarkEnd w:id="14"/>
    <w:bookmarkStart w:id="15" w:name="X2f15487929e6f92c15593940348b81d69368a04"/>
    <w:p>
      <w:pPr>
        <w:pStyle w:val="Heading3"/>
      </w:pPr>
      <w:r>
        <w:t xml:space="preserve">3. Annex 1 and product upgrades</w:t>
      </w:r>
    </w:p>
    <w:p>
      <w:pPr>
        <w:pStyle w:val="FirstParagraph"/>
      </w:pPr>
      <w:r>
        <w:t xml:space="preserve">West expects Annex 1-related conversions and broader HVP upgrades to contribute approximately</w:t>
      </w:r>
      <w:r>
        <w:t xml:space="preserve"> </w:t>
      </w:r>
      <w:r>
        <w:rPr>
          <w:b/>
          <w:bCs/>
        </w:rPr>
        <w:t xml:space="preserve">two percentage points</w:t>
      </w:r>
      <w:r>
        <w:t xml:space="preserve"> </w:t>
      </w:r>
      <w:r>
        <w:t xml:space="preserve">to 2026 growth. The number of related customer projects was up</w:t>
      </w:r>
      <w:r>
        <w:t xml:space="preserve"> </w:t>
      </w:r>
      <w:r>
        <w:rPr>
          <w:b/>
          <w:bCs/>
        </w:rPr>
        <w:t xml:space="preserve">66% year over year</w:t>
      </w:r>
      <w:r>
        <w:t xml:space="preserve"> </w:t>
      </w:r>
      <w:r>
        <w:t xml:space="preserve">in Q1, and management has identified at least six billion units that could potentially be upgraded.</w:t>
      </w:r>
    </w:p>
    <w:p>
      <w:pPr>
        <w:pStyle w:val="BodyText"/>
      </w:pPr>
      <w:r>
        <w:t xml:space="preserve">These conversions are particularly valuable because they can increase selling price and margin without requiring corresponding growth in drug-unit volumes. Investors should listen for:</w:t>
      </w:r>
    </w:p>
    <w:p>
      <w:pPr>
        <w:pStyle w:val="Compact"/>
        <w:numPr>
          <w:ilvl w:val="0"/>
          <w:numId w:val="1005"/>
        </w:numPr>
      </w:pPr>
      <w:r>
        <w:t xml:space="preserve">Project growth and conversion into commercial revenue.</w:t>
      </w:r>
    </w:p>
    <w:p>
      <w:pPr>
        <w:pStyle w:val="Compact"/>
        <w:numPr>
          <w:ilvl w:val="0"/>
          <w:numId w:val="1005"/>
        </w:numPr>
      </w:pPr>
      <w:r>
        <w:t xml:space="preserve">Adoption outside Europe, especially in the United States and Asia.</w:t>
      </w:r>
    </w:p>
    <w:p>
      <w:pPr>
        <w:pStyle w:val="Compact"/>
        <w:numPr>
          <w:ilvl w:val="0"/>
          <w:numId w:val="1005"/>
        </w:numPr>
      </w:pPr>
      <w:r>
        <w:t xml:space="preserve">Whether the cyber disruption affected qualification or conversion schedules.</w:t>
      </w:r>
    </w:p>
    <w:p>
      <w:pPr>
        <w:pStyle w:val="Compact"/>
        <w:numPr>
          <w:ilvl w:val="0"/>
          <w:numId w:val="1005"/>
        </w:numPr>
      </w:pPr>
      <w:r>
        <w:t xml:space="preserve">Continued confidence in the multiyear two-point annual growth contribution.</w:t>
      </w:r>
    </w:p>
    <w:p>
      <w:r>
        <w:pict>
          <v:rect style="width:0;height:1.5pt" o:hralign="center" o:hrstd="t" o:hr="t"/>
        </w:pict>
      </w:r>
    </w:p>
    <w:bookmarkEnd w:id="15"/>
    <w:bookmarkEnd w:id="16"/>
    <w:bookmarkStart w:id="17" w:name="margins-may-determine-the-stock-reaction"/>
    <w:p>
      <w:pPr>
        <w:pStyle w:val="Heading2"/>
      </w:pPr>
      <w:r>
        <w:t xml:space="preserve">Margins may determine the stock reaction</w:t>
      </w:r>
    </w:p>
    <w:p>
      <w:pPr>
        <w:pStyle w:val="FirstParagraph"/>
      </w:pPr>
      <w:r>
        <w:t xml:space="preserve">West’s Q1 adjusted operating margin expanded</w:t>
      </w:r>
      <w:r>
        <w:t xml:space="preserve"> </w:t>
      </w:r>
      <w:r>
        <w:rPr>
          <w:b/>
          <w:bCs/>
        </w:rPr>
        <w:t xml:space="preserve">350 basis points</w:t>
      </w:r>
      <w:r>
        <w:t xml:space="preserve"> </w:t>
      </w:r>
      <w:r>
        <w:t xml:space="preserve">to 21.4%, helped by favorable HVP mix, pricing, improved plant utilization and operating leverage.</w:t>
      </w:r>
    </w:p>
    <w:p>
      <w:pPr>
        <w:pStyle w:val="BodyText"/>
      </w:pPr>
      <w:r>
        <w:t xml:space="preserve">Management previously suggested:</w:t>
      </w:r>
    </w:p>
    <w:p>
      <w:pPr>
        <w:pStyle w:val="Compact"/>
        <w:numPr>
          <w:ilvl w:val="0"/>
          <w:numId w:val="1006"/>
        </w:numPr>
      </w:pPr>
      <w:r>
        <w:t xml:space="preserve">Q2 margin would be roughly in line with Q1.</w:t>
      </w:r>
    </w:p>
    <w:p>
      <w:pPr>
        <w:pStyle w:val="Compact"/>
        <w:numPr>
          <w:ilvl w:val="0"/>
          <w:numId w:val="1006"/>
        </w:numPr>
      </w:pPr>
      <w:r>
        <w:t xml:space="preserve">Second-half margins should rise above first-half levels.</w:t>
      </w:r>
    </w:p>
    <w:p>
      <w:pPr>
        <w:pStyle w:val="Compact"/>
        <w:numPr>
          <w:ilvl w:val="0"/>
          <w:numId w:val="1006"/>
        </w:numPr>
      </w:pPr>
      <w:r>
        <w:t xml:space="preserve">Operational improvements from European HVP facilities could be transferred to other sites.</w:t>
      </w:r>
    </w:p>
    <w:p>
      <w:pPr>
        <w:pStyle w:val="Compact"/>
        <w:numPr>
          <w:ilvl w:val="0"/>
          <w:numId w:val="1006"/>
        </w:numPr>
      </w:pPr>
      <w:r>
        <w:t xml:space="preserve">Higher oil, commodity, fuel and logistics costs would have only a single-digit-million-dollar net impact after mitigation.</w:t>
      </w:r>
    </w:p>
    <w:p>
      <w:pPr>
        <w:pStyle w:val="FirstParagraph"/>
      </w:pPr>
      <w:r>
        <w:t xml:space="preserve">The cyberattack adds a new variable. Investors should distinguish between temporary incident-related expenses and any deterioration in underlying manufacturing economics.</w:t>
      </w:r>
    </w:p>
    <w:p>
      <w:pPr>
        <w:pStyle w:val="BodyText"/>
      </w:pPr>
      <w:r>
        <w:t xml:space="preserve">A result near the revenue target but with weak margin or reduced second-half margin expectations would be disappointing. Conversely, holding operating margin near 21% despite the disruption would demonstrate substantial earnings resilience.</w:t>
      </w:r>
    </w:p>
    <w:p>
      <w:r>
        <w:pict>
          <v:rect style="width:0;height:1.5pt" o:hralign="center" o:hrstd="t" o:hr="t"/>
        </w:pict>
      </w:r>
    </w:p>
    <w:bookmarkEnd w:id="17"/>
    <w:bookmarkStart w:id="20" w:name="portfolio-transitions-will-create-noise"/>
    <w:p>
      <w:pPr>
        <w:pStyle w:val="Heading2"/>
      </w:pPr>
      <w:r>
        <w:t xml:space="preserve">Portfolio transitions will create noise</w:t>
      </w:r>
    </w:p>
    <w:bookmarkStart w:id="18" w:name="smartdose"/>
    <w:p>
      <w:pPr>
        <w:pStyle w:val="Heading3"/>
      </w:pPr>
      <w:r>
        <w:t xml:space="preserve">SmartDose</w:t>
      </w:r>
    </w:p>
    <w:p>
      <w:pPr>
        <w:pStyle w:val="FirstParagraph"/>
      </w:pPr>
      <w:r>
        <w:t xml:space="preserve">Q1 HVP delivery-device revenue rose</w:t>
      </w:r>
      <w:r>
        <w:t xml:space="preserve"> </w:t>
      </w:r>
      <w:r>
        <w:rPr>
          <w:b/>
          <w:bCs/>
        </w:rPr>
        <w:t xml:space="preserve">27.5% organically</w:t>
      </w:r>
      <w:r>
        <w:t xml:space="preserve">, partly because customers requested additional SmartDose 3.5 product ahead of the planned transaction. SmartDose strength was volume-driven and contributed to the unusually strong first-quarter result.</w:t>
      </w:r>
    </w:p>
    <w:p>
      <w:pPr>
        <w:pStyle w:val="BodyText"/>
      </w:pPr>
      <w:r>
        <w:t xml:space="preserve">West had expected the transaction to close around midyear. Investors need clarity on:</w:t>
      </w:r>
    </w:p>
    <w:p>
      <w:pPr>
        <w:pStyle w:val="Compact"/>
        <w:numPr>
          <w:ilvl w:val="0"/>
          <w:numId w:val="1007"/>
        </w:numPr>
      </w:pPr>
      <w:r>
        <w:t xml:space="preserve">Whether the transaction has closed or remains on schedule.</w:t>
      </w:r>
    </w:p>
    <w:p>
      <w:pPr>
        <w:pStyle w:val="Compact"/>
        <w:numPr>
          <w:ilvl w:val="0"/>
          <w:numId w:val="1007"/>
        </w:numPr>
      </w:pPr>
      <w:r>
        <w:t xml:space="preserve">How much SmartDose revenue was recorded in Q2.</w:t>
      </w:r>
    </w:p>
    <w:p>
      <w:pPr>
        <w:pStyle w:val="Compact"/>
        <w:numPr>
          <w:ilvl w:val="0"/>
          <w:numId w:val="1007"/>
        </w:numPr>
      </w:pPr>
      <w:r>
        <w:t xml:space="preserve">Any transition costs or retained obligations.</w:t>
      </w:r>
    </w:p>
    <w:p>
      <w:pPr>
        <w:pStyle w:val="Compact"/>
        <w:numPr>
          <w:ilvl w:val="0"/>
          <w:numId w:val="1007"/>
        </w:numPr>
      </w:pPr>
      <w:r>
        <w:t xml:space="preserve">The underlying growth of Crystal Zenith, SelfDose and other retained devices.</w:t>
      </w:r>
    </w:p>
    <w:p>
      <w:pPr>
        <w:pStyle w:val="FirstParagraph"/>
      </w:pPr>
      <w:r>
        <w:t xml:space="preserve">Because accelerated SmartDose ordering benefited Q1, investors should avoid extrapolating total delivery-device growth without separating the retained portfolio.</w:t>
      </w:r>
    </w:p>
    <w:bookmarkEnd w:id="18"/>
    <w:bookmarkStart w:id="19" w:name="west-vantage-and-the-cgm-roll-off"/>
    <w:p>
      <w:pPr>
        <w:pStyle w:val="Heading3"/>
      </w:pPr>
      <w:r>
        <w:t xml:space="preserve">West Vantage and the CGM roll-off</w:t>
      </w:r>
    </w:p>
    <w:p>
      <w:pPr>
        <w:pStyle w:val="FirstParagraph"/>
      </w:pPr>
      <w:r>
        <w:t xml:space="preserve">West Vantage, formerly Contract Manufacturing, grew</w:t>
      </w:r>
      <w:r>
        <w:t xml:space="preserve"> </w:t>
      </w:r>
      <w:r>
        <w:rPr>
          <w:b/>
          <w:bCs/>
        </w:rPr>
        <w:t xml:space="preserve">6.2% organically</w:t>
      </w:r>
      <w:r>
        <w:t xml:space="preserve"> </w:t>
      </w:r>
      <w:r>
        <w:t xml:space="preserve">in Q1. However, a continuous-glucose-monitoring contract was scheduled to end in Q2, creating an approximately</w:t>
      </w:r>
      <w:r>
        <w:t xml:space="preserve"> </w:t>
      </w:r>
      <w:r>
        <w:rPr>
          <w:b/>
          <w:bCs/>
        </w:rPr>
        <w:t xml:space="preserve">$40 million second-half revenue headwind</w:t>
      </w:r>
      <w:r>
        <w:t xml:space="preserve">. Management previously identified Q3 as the likely low point.</w:t>
      </w:r>
    </w:p>
    <w:p>
      <w:pPr>
        <w:pStyle w:val="BodyText"/>
      </w:pPr>
      <w:r>
        <w:t xml:space="preserve">The offset is West’s newer drug-handling business:</w:t>
      </w:r>
    </w:p>
    <w:p>
      <w:pPr>
        <w:pStyle w:val="Compact"/>
        <w:numPr>
          <w:ilvl w:val="0"/>
          <w:numId w:val="1008"/>
        </w:numPr>
      </w:pPr>
      <w:r>
        <w:t xml:space="preserve">Expected to contribute roughly</w:t>
      </w:r>
      <w:r>
        <w:t xml:space="preserve"> </w:t>
      </w:r>
      <w:r>
        <w:rPr>
          <w:b/>
          <w:bCs/>
        </w:rPr>
        <w:t xml:space="preserve">$20 million</w:t>
      </w:r>
      <w:r>
        <w:t xml:space="preserve"> </w:t>
      </w:r>
      <w:r>
        <w:t xml:space="preserve">of incremental 2026 revenue.</w:t>
      </w:r>
    </w:p>
    <w:p>
      <w:pPr>
        <w:pStyle w:val="Compact"/>
        <w:numPr>
          <w:ilvl w:val="0"/>
          <w:numId w:val="1008"/>
        </w:numPr>
      </w:pPr>
      <w:r>
        <w:t xml:space="preserve">Primarily weighted toward the second half.</w:t>
      </w:r>
    </w:p>
    <w:p>
      <w:pPr>
        <w:pStyle w:val="Compact"/>
        <w:numPr>
          <w:ilvl w:val="0"/>
          <w:numId w:val="1008"/>
        </w:numPr>
      </w:pPr>
      <w:r>
        <w:t xml:space="preserve">Potential peak revenue around three times the 2026 contribution.</w:t>
      </w:r>
    </w:p>
    <w:p>
      <w:pPr>
        <w:pStyle w:val="Compact"/>
        <w:numPr>
          <w:ilvl w:val="0"/>
          <w:numId w:val="1008"/>
        </w:numPr>
      </w:pPr>
      <w:r>
        <w:t xml:space="preserve">Gross margin potentially at least twice that of the legacy business it replaces.</w:t>
      </w:r>
    </w:p>
    <w:p>
      <w:pPr>
        <w:pStyle w:val="FirstParagraph"/>
      </w:pPr>
      <w:r>
        <w:t xml:space="preserve">The key issue is whether drug handling is ramping quickly enough to make the CGM exit a temporary revenue transition rather than a longer-lasting earnings drag.</w:t>
      </w:r>
    </w:p>
    <w:p>
      <w:r>
        <w:pict>
          <v:rect style="width:0;height:1.5pt" o:hralign="center" o:hrstd="t" o:hr="t"/>
        </w:pict>
      </w:r>
    </w:p>
    <w:bookmarkEnd w:id="19"/>
    <w:bookmarkEnd w:id="20"/>
    <w:bookmarkStart w:id="22" w:name="full-year-guidance-is-the-real-hurdle"/>
    <w:p>
      <w:pPr>
        <w:pStyle w:val="Heading2"/>
      </w:pPr>
      <w:r>
        <w:t xml:space="preserve">Full-year guidance is the real hurdle</w:t>
      </w:r>
    </w:p>
    <w:p>
      <w:pPr>
        <w:pStyle w:val="FirstParagraph"/>
      </w:pPr>
      <w:r>
        <w:t xml:space="preserve">At current guidance midpoints, West would generate approximately:</w:t>
      </w:r>
    </w:p>
    <w:p>
      <w:pPr>
        <w:pStyle w:val="Compact"/>
        <w:numPr>
          <w:ilvl w:val="0"/>
          <w:numId w:val="1009"/>
        </w:numPr>
      </w:pPr>
      <w:r>
        <w:rPr>
          <w:b/>
          <w:bCs/>
        </w:rPr>
        <w:t xml:space="preserve">$1.638 billion</w:t>
      </w:r>
      <w:r>
        <w:t xml:space="preserve"> </w:t>
      </w:r>
      <w:r>
        <w:t xml:space="preserve">of second-half revenue after Q1 actual results and the midpoint of Q2 guidance.</w:t>
      </w:r>
    </w:p>
    <w:p>
      <w:pPr>
        <w:pStyle w:val="Compact"/>
        <w:numPr>
          <w:ilvl w:val="0"/>
          <w:numId w:val="1009"/>
        </w:numPr>
      </w:pPr>
      <w:r>
        <w:rPr>
          <w:b/>
          <w:bCs/>
        </w:rPr>
        <w:t xml:space="preserve">$4.36</w:t>
      </w:r>
      <w:r>
        <w:t xml:space="preserve"> </w:t>
      </w:r>
      <w:r>
        <w:t xml:space="preserve">of second-half adjusted EPS after Q1 EPS and the midpoint of Q2 guidance.</w:t>
      </w:r>
    </w:p>
    <w:p>
      <w:pPr>
        <w:pStyle w:val="FirstParagraph"/>
      </w:pPr>
      <w:r>
        <w:t xml:space="preserve">That translates to average second-half quarterly revenue of roughly</w:t>
      </w:r>
      <w:r>
        <w:t xml:space="preserve"> </w:t>
      </w:r>
      <m:oMath>
        <m:r>
          <m:t>819</m:t>
        </m:r>
        <m:r>
          <m:t>m</m:t>
        </m:r>
        <m:r>
          <m:t>i</m:t>
        </m:r>
        <m:r>
          <m:t>l</m:t>
        </m:r>
        <m:r>
          <m:t>l</m:t>
        </m:r>
        <m:r>
          <m:t>i</m:t>
        </m:r>
        <m:r>
          <m:t>o</m:t>
        </m:r>
        <m:r>
          <m:t>n</m:t>
        </m:r>
        <m:r>
          <m:rPr>
            <m:sty m:val="p"/>
          </m:rPr>
          <m:t>*</m:t>
        </m:r>
        <m:r>
          <m:rPr>
            <m:sty m:val="p"/>
          </m:rPr>
          <m:t>*</m:t>
        </m:r>
        <m:r>
          <m:t>a</m:t>
        </m:r>
        <m:r>
          <m:t>n</m:t>
        </m:r>
        <m:r>
          <m:t>d</m:t>
        </m:r>
        <m:r>
          <m:t>a</m:t>
        </m:r>
        <m:r>
          <m:t>d</m:t>
        </m:r>
        <m:r>
          <m:t>j</m:t>
        </m:r>
        <m:r>
          <m:t>u</m:t>
        </m:r>
        <m:r>
          <m:t>s</m:t>
        </m:r>
        <m:r>
          <m:t>t</m:t>
        </m:r>
        <m:r>
          <m:t>e</m:t>
        </m:r>
        <m:r>
          <m:t>d</m:t>
        </m:r>
        <m:r>
          <m:t>E</m:t>
        </m:r>
        <m:r>
          <m:t>P</m:t>
        </m:r>
        <m:r>
          <m:t>S</m:t>
        </m:r>
        <m:r>
          <m:t>o</m:t>
        </m:r>
        <m:r>
          <m:t>f</m:t>
        </m:r>
        <m:r>
          <m:t>a</m:t>
        </m:r>
        <m:r>
          <m:t>p</m:t>
        </m:r>
        <m:r>
          <m:t>p</m:t>
        </m:r>
        <m:r>
          <m:t>r</m:t>
        </m:r>
        <m:r>
          <m:t>o</m:t>
        </m:r>
        <m:r>
          <m:t>x</m:t>
        </m:r>
        <m:r>
          <m:t>i</m:t>
        </m:r>
        <m:r>
          <m:t>m</m:t>
        </m:r>
        <m:r>
          <m:t>a</m:t>
        </m:r>
        <m:r>
          <m:t>t</m:t>
        </m:r>
        <m:r>
          <m:t>e</m:t>
        </m:r>
        <m:r>
          <m:t>l</m:t>
        </m:r>
        <m:r>
          <m:t>y</m:t>
        </m:r>
        <m:r>
          <m:rPr>
            <m:sty m:val="p"/>
          </m:rPr>
          <m:t>*</m:t>
        </m:r>
        <m:r>
          <m:rPr>
            <m:sty m:val="p"/>
          </m:rPr>
          <m:t>*</m:t>
        </m:r>
      </m:oMath>
      <w:r>
        <w:rPr>
          <w:b/>
          <w:bCs/>
        </w:rPr>
        <w:t xml:space="preserve">2.18</w:t>
      </w:r>
      <w:r>
        <w:t xml:space="preserve">. The model therefore assumes lower average revenue than in the first half but improving earnings, supported by richer HVP mix, operational efficiency and the exit of lower-margin activities.</w:t>
      </w:r>
    </w:p>
    <w:bookmarkStart w:id="21" w:name="likely-interpretations"/>
    <w:p>
      <w:pPr>
        <w:pStyle w:val="Heading3"/>
      </w:pPr>
      <w:r>
        <w:t xml:space="preserve">Likely interpretations</w:t>
      </w:r>
    </w:p>
    <w:p>
      <w:pPr>
        <w:pStyle w:val="FirstParagraph"/>
      </w:pPr>
      <w:r>
        <w:rPr>
          <w:b/>
          <w:bCs/>
        </w:rPr>
        <w:t xml:space="preserve">Bullish</w:t>
      </w:r>
    </w:p>
    <w:p>
      <w:pPr>
        <w:pStyle w:val="Compact"/>
        <w:numPr>
          <w:ilvl w:val="0"/>
          <w:numId w:val="1010"/>
        </w:numPr>
      </w:pPr>
      <w:r>
        <w:t xml:space="preserve">Q2 results meet or exceed the original pre-cyber guidance.</w:t>
      </w:r>
    </w:p>
    <w:p>
      <w:pPr>
        <w:pStyle w:val="Compact"/>
        <w:numPr>
          <w:ilvl w:val="0"/>
          <w:numId w:val="1010"/>
        </w:numPr>
      </w:pPr>
      <w:r>
        <w:t xml:space="preserve">Cyber disruption is fully contained, with delayed sales recovered or recoverable.</w:t>
      </w:r>
    </w:p>
    <w:p>
      <w:pPr>
        <w:pStyle w:val="Compact"/>
        <w:numPr>
          <w:ilvl w:val="0"/>
          <w:numId w:val="1010"/>
        </w:numPr>
      </w:pPr>
      <w:r>
        <w:t xml:space="preserve">Full-year guidance is raised or the upper half becomes the clear operating trajectory.</w:t>
      </w:r>
    </w:p>
    <w:p>
      <w:pPr>
        <w:pStyle w:val="Compact"/>
        <w:numPr>
          <w:ilvl w:val="0"/>
          <w:numId w:val="1010"/>
        </w:numPr>
      </w:pPr>
      <w:r>
        <w:t xml:space="preserve">HVP growth remains in the high teens or better.</w:t>
      </w:r>
    </w:p>
    <w:p>
      <w:pPr>
        <w:pStyle w:val="Compact"/>
        <w:numPr>
          <w:ilvl w:val="0"/>
          <w:numId w:val="1010"/>
        </w:numPr>
      </w:pPr>
      <w:r>
        <w:t xml:space="preserve">Operating margin holds near 21% with confidence in second-half expansion.</w:t>
      </w:r>
    </w:p>
    <w:p>
      <w:pPr>
        <w:pStyle w:val="FirstParagraph"/>
      </w:pPr>
      <w:r>
        <w:rPr>
          <w:b/>
          <w:bCs/>
        </w:rPr>
        <w:t xml:space="preserve">Acceptable/base case</w:t>
      </w:r>
    </w:p>
    <w:p>
      <w:pPr>
        <w:pStyle w:val="Compact"/>
        <w:numPr>
          <w:ilvl w:val="0"/>
          <w:numId w:val="1011"/>
        </w:numPr>
      </w:pPr>
      <w:r>
        <w:t xml:space="preserve">Q2 misses modestly because of shipment timing or cyber-related costs.</w:t>
      </w:r>
    </w:p>
    <w:p>
      <w:pPr>
        <w:pStyle w:val="Compact"/>
        <w:numPr>
          <w:ilvl w:val="0"/>
          <w:numId w:val="1011"/>
        </w:numPr>
      </w:pPr>
      <w:r>
        <w:t xml:space="preserve">Management reaffirms full-year revenue and EPS guidance.</w:t>
      </w:r>
    </w:p>
    <w:p>
      <w:pPr>
        <w:pStyle w:val="Compact"/>
        <w:numPr>
          <w:ilvl w:val="0"/>
          <w:numId w:val="1011"/>
        </w:numPr>
      </w:pPr>
      <w:r>
        <w:t xml:space="preserve">Customer demand remains intact and most delayed revenue moves into Q3.</w:t>
      </w:r>
    </w:p>
    <w:p>
      <w:pPr>
        <w:pStyle w:val="Compact"/>
        <w:numPr>
          <w:ilvl w:val="0"/>
          <w:numId w:val="1011"/>
        </w:numPr>
      </w:pPr>
      <w:r>
        <w:t xml:space="preserve">Cyber remediation is substantially complete.</w:t>
      </w:r>
    </w:p>
    <w:p>
      <w:pPr>
        <w:pStyle w:val="FirstParagraph"/>
      </w:pPr>
      <w:r>
        <w:rPr>
          <w:b/>
          <w:bCs/>
        </w:rPr>
        <w:t xml:space="preserve">Bearish</w:t>
      </w:r>
    </w:p>
    <w:p>
      <w:pPr>
        <w:pStyle w:val="Compact"/>
        <w:numPr>
          <w:ilvl w:val="0"/>
          <w:numId w:val="1012"/>
        </w:numPr>
      </w:pPr>
      <w:r>
        <w:t xml:space="preserve">Full-year guidance is reduced.</w:t>
      </w:r>
    </w:p>
    <w:p>
      <w:pPr>
        <w:pStyle w:val="Compact"/>
        <w:numPr>
          <w:ilvl w:val="0"/>
          <w:numId w:val="1012"/>
        </w:numPr>
      </w:pPr>
      <w:r>
        <w:t xml:space="preserve">Production or customer-service disruption persists.</w:t>
      </w:r>
    </w:p>
    <w:p>
      <w:pPr>
        <w:pStyle w:val="Compact"/>
        <w:numPr>
          <w:ilvl w:val="0"/>
          <w:numId w:val="1012"/>
        </w:numPr>
      </w:pPr>
      <w:r>
        <w:t xml:space="preserve">HVP growth slows materially for reasons beyond shipment timing.</w:t>
      </w:r>
    </w:p>
    <w:p>
      <w:pPr>
        <w:pStyle w:val="Compact"/>
        <w:numPr>
          <w:ilvl w:val="0"/>
          <w:numId w:val="1012"/>
        </w:numPr>
      </w:pPr>
      <w:r>
        <w:t xml:space="preserve">Cyber costs or operating inefficiencies undermine the expected margin expansion.</w:t>
      </w:r>
    </w:p>
    <w:p>
      <w:pPr>
        <w:pStyle w:val="Compact"/>
        <w:numPr>
          <w:ilvl w:val="0"/>
          <w:numId w:val="1012"/>
        </w:numPr>
      </w:pPr>
      <w:r>
        <w:t xml:space="preserve">SmartDose or West Vantage transitions create additional revenue gaps.</w:t>
      </w:r>
    </w:p>
    <w:p>
      <w:r>
        <w:pict>
          <v:rect style="width:0;height:1.5pt" o:hralign="center" o:hrstd="t" o:hr="t"/>
        </w:pict>
      </w:r>
    </w:p>
    <w:bookmarkEnd w:id="21"/>
    <w:bookmarkEnd w:id="22"/>
    <w:bookmarkStart w:id="26" w:name="other-items-to-watch"/>
    <w:p>
      <w:pPr>
        <w:pStyle w:val="Heading2"/>
      </w:pPr>
      <w:r>
        <w:t xml:space="preserve">Other items to watch</w:t>
      </w:r>
    </w:p>
    <w:bookmarkStart w:id="23" w:name="ceo-succession"/>
    <w:p>
      <w:pPr>
        <w:pStyle w:val="Heading3"/>
      </w:pPr>
      <w:r>
        <w:t xml:space="preserve">CEO succession</w:t>
      </w:r>
    </w:p>
    <w:p>
      <w:pPr>
        <w:pStyle w:val="FirstParagraph"/>
      </w:pPr>
      <w:r>
        <w:t xml:space="preserve">CEO Eric Green has announced his intention to retire once a successor is appointed. Management previously expected an appointment during the second half of 2026.</w:t>
      </w:r>
    </w:p>
    <w:p>
      <w:pPr>
        <w:pStyle w:val="BodyText"/>
      </w:pPr>
      <w:r>
        <w:t xml:space="preserve">Given the company’s operational momentum and premium valuation, investors will want a credible succession timeline and confidence that the next CEO will maintain West’s focus on HVP growth, capacity utilization and disciplined capital investment.</w:t>
      </w:r>
    </w:p>
    <w:bookmarkEnd w:id="23"/>
    <w:bookmarkStart w:id="24" w:name="capital-allocation"/>
    <w:p>
      <w:pPr>
        <w:pStyle w:val="Heading3"/>
      </w:pPr>
      <w:r>
        <w:t xml:space="preserve">Capital allocation</w:t>
      </w:r>
    </w:p>
    <w:p>
      <w:pPr>
        <w:pStyle w:val="FirstParagraph"/>
      </w:pPr>
      <w:r>
        <w:t xml:space="preserve">West authorized a new</w:t>
      </w:r>
      <w:r>
        <w:t xml:space="preserve"> </w:t>
      </w:r>
      <m:oMath>
        <m:r>
          <m:t>1</m:t>
        </m:r>
        <m:r>
          <m:t>b</m:t>
        </m:r>
        <m:r>
          <m:t>i</m:t>
        </m:r>
        <m:r>
          <m:t>l</m:t>
        </m:r>
        <m:r>
          <m:t>l</m:t>
        </m:r>
        <m:r>
          <m:t>i</m:t>
        </m:r>
        <m:r>
          <m:t>o</m:t>
        </m:r>
        <m:r>
          <m:t>n</m:t>
        </m:r>
        <m:r>
          <m:t>r</m:t>
        </m:r>
        <m:r>
          <m:t>e</m:t>
        </m:r>
        <m:r>
          <m:t>p</m:t>
        </m:r>
        <m:r>
          <m:t>u</m:t>
        </m:r>
        <m:r>
          <m:t>r</m:t>
        </m:r>
        <m:r>
          <m:t>c</m:t>
        </m:r>
        <m:r>
          <m:t>h</m:t>
        </m:r>
        <m:r>
          <m:t>a</m:t>
        </m:r>
        <m:r>
          <m:t>s</m:t>
        </m:r>
        <m:r>
          <m:t>e</m:t>
        </m:r>
        <m:r>
          <m:t>p</m:t>
        </m:r>
        <m:r>
          <m:t>r</m:t>
        </m:r>
        <m:r>
          <m:t>o</m:t>
        </m:r>
        <m:r>
          <m:t>g</m:t>
        </m:r>
        <m:r>
          <m:t>r</m:t>
        </m:r>
        <m:r>
          <m:t>a</m:t>
        </m:r>
        <m:r>
          <m:t>m</m:t>
        </m:r>
        <m:r>
          <m:rPr>
            <m:sty m:val="p"/>
          </m:rPr>
          <m:t>*</m:t>
        </m:r>
        <m:r>
          <m:rPr>
            <m:sty m:val="p"/>
          </m:rPr>
          <m:t>*</m:t>
        </m:r>
        <m:r>
          <m:t>a</m:t>
        </m:r>
        <m:r>
          <m:t>n</m:t>
        </m:r>
        <m:r>
          <m:t>d</m:t>
        </m:r>
        <m:r>
          <m:t>b</m:t>
        </m:r>
        <m:r>
          <m:t>o</m:t>
        </m:r>
        <m:r>
          <m:t>u</m:t>
        </m:r>
        <m:r>
          <m:t>g</m:t>
        </m:r>
        <m:r>
          <m:t>h</m:t>
        </m:r>
        <m:r>
          <m:t>t</m:t>
        </m:r>
        <m:r>
          <m:t>b</m:t>
        </m:r>
        <m:r>
          <m:t>a</m:t>
        </m:r>
        <m:r>
          <m:t>c</m:t>
        </m:r>
        <m:r>
          <m:t>k</m:t>
        </m:r>
        <m:r>
          <m:t>1.2</m:t>
        </m:r>
        <m:r>
          <m:t>m</m:t>
        </m:r>
        <m:r>
          <m:t>i</m:t>
        </m:r>
        <m:r>
          <m:t>l</m:t>
        </m:r>
        <m:r>
          <m:t>l</m:t>
        </m:r>
        <m:r>
          <m:t>i</m:t>
        </m:r>
        <m:r>
          <m:t>o</m:t>
        </m:r>
        <m:r>
          <m:t>n</m:t>
        </m:r>
        <m:r>
          <m:t>s</m:t>
        </m:r>
        <m:r>
          <m:t>h</m:t>
        </m:r>
        <m:r>
          <m:t>a</m:t>
        </m:r>
        <m:r>
          <m:t>r</m:t>
        </m:r>
        <m:r>
          <m:t>e</m:t>
        </m:r>
        <m:r>
          <m:t>s</m:t>
        </m:r>
        <m:r>
          <m:t>f</m:t>
        </m:r>
        <m:r>
          <m:t>o</m:t>
        </m:r>
        <m:r>
          <m:t>r</m:t>
        </m:r>
        <m:r>
          <m:t>a</m:t>
        </m:r>
        <m:r>
          <m:t>p</m:t>
        </m:r>
        <m:r>
          <m:t>p</m:t>
        </m:r>
        <m:r>
          <m:t>r</m:t>
        </m:r>
        <m:r>
          <m:t>o</m:t>
        </m:r>
        <m:r>
          <m:t>x</m:t>
        </m:r>
        <m:r>
          <m:t>i</m:t>
        </m:r>
        <m:r>
          <m:t>m</m:t>
        </m:r>
        <m:r>
          <m:t>a</m:t>
        </m:r>
        <m:r>
          <m:t>t</m:t>
        </m:r>
        <m:r>
          <m:t>e</m:t>
        </m:r>
        <m:r>
          <m:t>l</m:t>
        </m:r>
        <m:r>
          <m:t>y</m:t>
        </m:r>
        <m:r>
          <m:rPr>
            <m:sty m:val="p"/>
          </m:rPr>
          <m:t>*</m:t>
        </m:r>
        <m:r>
          <m:rPr>
            <m:sty m:val="p"/>
          </m:rPr>
          <m:t>*</m:t>
        </m:r>
      </m:oMath>
      <w:r>
        <w:rPr>
          <w:b/>
          <w:bCs/>
        </w:rPr>
        <w:t xml:space="preserve">298 million</w:t>
      </w:r>
      <w:r>
        <w:t xml:space="preserve"> </w:t>
      </w:r>
      <w:r>
        <w:t xml:space="preserve">in Q1. With the stock now materially higher, investors should assess the pace of further repurchases and whether management prioritizes capacity investment, M&amp;A or buybacks.</w:t>
      </w:r>
    </w:p>
    <w:bookmarkEnd w:id="24"/>
    <w:bookmarkStart w:id="25" w:name="daikyo-relationship"/>
    <w:p>
      <w:pPr>
        <w:pStyle w:val="Heading3"/>
      </w:pPr>
      <w:r>
        <w:t xml:space="preserve">Daikyo relationship</w:t>
      </w:r>
    </w:p>
    <w:p>
      <w:pPr>
        <w:pStyle w:val="FirstParagraph"/>
      </w:pPr>
      <w:r>
        <w:t xml:space="preserve">On July 14, West renewed its technology-sharing, cross-licensing and distribution agreements with Daikyo Seiko for another ten years. West retains a 49% stake in Daikyo and remains its exclusive distributor outside Japan, subject to limited exceptions.</w:t>
      </w:r>
    </w:p>
    <w:p>
      <w:pPr>
        <w:pStyle w:val="BodyText"/>
      </w:pPr>
      <w:r>
        <w:t xml:space="preserve">This is strategically positive for West’s high-end containment and delivery portfolio, although it is unlikely to be a material near-term earnings catalyst.</w:t>
      </w:r>
    </w:p>
    <w:p>
      <w:r>
        <w:pict>
          <v:rect style="width:0;height:1.5pt" o:hralign="center" o:hrstd="t" o:hr="t"/>
        </w:pict>
      </w:r>
    </w:p>
    <w:bookmarkEnd w:id="25"/>
    <w:bookmarkEnd w:id="26"/>
    <w:bookmarkStart w:id="27" w:name="questions-for-management"/>
    <w:p>
      <w:pPr>
        <w:pStyle w:val="Heading2"/>
      </w:pPr>
      <w:r>
        <w:t xml:space="preserve">Questions for management</w:t>
      </w:r>
    </w:p>
    <w:p>
      <w:pPr>
        <w:pStyle w:val="Compact"/>
        <w:numPr>
          <w:ilvl w:val="0"/>
          <w:numId w:val="1013"/>
        </w:numPr>
      </w:pPr>
      <w:r>
        <w:t xml:space="preserve">How much Q2 revenue was delayed or lost because of the May cyberattack?</w:t>
      </w:r>
    </w:p>
    <w:p>
      <w:pPr>
        <w:pStyle w:val="Compact"/>
        <w:numPr>
          <w:ilvl w:val="0"/>
          <w:numId w:val="1013"/>
        </w:numPr>
      </w:pPr>
      <w:r>
        <w:t xml:space="preserve">Are all manufacturing, shipping and enterprise systems now fully operational?</w:t>
      </w:r>
    </w:p>
    <w:p>
      <w:pPr>
        <w:pStyle w:val="Compact"/>
        <w:numPr>
          <w:ilvl w:val="0"/>
          <w:numId w:val="1013"/>
        </w:numPr>
      </w:pPr>
      <w:r>
        <w:t xml:space="preserve">What cyber-related costs were incurred, and how much remains to be spent?</w:t>
      </w:r>
    </w:p>
    <w:p>
      <w:pPr>
        <w:pStyle w:val="Compact"/>
        <w:numPr>
          <w:ilvl w:val="0"/>
          <w:numId w:val="1013"/>
        </w:numPr>
      </w:pPr>
      <w:r>
        <w:t xml:space="preserve">Did any customers alter orders, qualification plans or sourcing decisions?</w:t>
      </w:r>
    </w:p>
    <w:p>
      <w:pPr>
        <w:pStyle w:val="Compact"/>
        <w:numPr>
          <w:ilvl w:val="0"/>
          <w:numId w:val="1013"/>
        </w:numPr>
      </w:pPr>
      <w:r>
        <w:t xml:space="preserve">Can West reaffirm its 7%–9% organic-growth and</w:t>
      </w:r>
      <w:r>
        <w:t xml:space="preserve"> </w:t>
      </w:r>
      <m:oMath>
        <m:r>
          <m:t>8.40</m:t>
        </m:r>
        <m:r>
          <m:rPr>
            <m:sty m:val="p"/>
          </m:rPr>
          <m:t>–</m:t>
        </m:r>
      </m:oMath>
      <w:r>
        <w:t xml:space="preserve">8.75 EPS outlook?</w:t>
      </w:r>
    </w:p>
    <w:p>
      <w:pPr>
        <w:pStyle w:val="Compact"/>
        <w:numPr>
          <w:ilvl w:val="0"/>
          <w:numId w:val="1013"/>
        </w:numPr>
      </w:pPr>
      <w:r>
        <w:t xml:space="preserve">How did GLP-1 and non-GLP-1 HVP components perform separately?</w:t>
      </w:r>
    </w:p>
    <w:p>
      <w:pPr>
        <w:pStyle w:val="Compact"/>
        <w:numPr>
          <w:ilvl w:val="0"/>
          <w:numId w:val="1013"/>
        </w:numPr>
      </w:pPr>
      <w:r>
        <w:t xml:space="preserve">Did Annex 1 conversions continue at the expected pace?</w:t>
      </w:r>
    </w:p>
    <w:p>
      <w:pPr>
        <w:pStyle w:val="Compact"/>
        <w:numPr>
          <w:ilvl w:val="0"/>
          <w:numId w:val="1013"/>
        </w:numPr>
      </w:pPr>
      <w:r>
        <w:t xml:space="preserve">Is HVP demand still exceeding available supply?</w:t>
      </w:r>
    </w:p>
    <w:p>
      <w:pPr>
        <w:pStyle w:val="Compact"/>
        <w:numPr>
          <w:ilvl w:val="0"/>
          <w:numId w:val="1013"/>
        </w:numPr>
      </w:pPr>
      <w:r>
        <w:t xml:space="preserve">Has the SmartDose transaction closed, and what revenue remains in the comparisons?</w:t>
      </w:r>
    </w:p>
    <w:p>
      <w:pPr>
        <w:pStyle w:val="Compact"/>
        <w:numPr>
          <w:ilvl w:val="0"/>
          <w:numId w:val="1013"/>
        </w:numPr>
      </w:pPr>
      <w:r>
        <w:t xml:space="preserve">Is West Vantage’s drug-handling ramp on schedule ahead of the Q3 trough?</w:t>
      </w:r>
    </w:p>
    <w:p>
      <w:pPr>
        <w:pStyle w:val="Compact"/>
        <w:numPr>
          <w:ilvl w:val="0"/>
          <w:numId w:val="1013"/>
        </w:numPr>
      </w:pPr>
      <w:r>
        <w:t xml:space="preserve">Does management still expect second-half operating margin to exceed first-half levels?</w:t>
      </w:r>
    </w:p>
    <w:p>
      <w:pPr>
        <w:pStyle w:val="Compact"/>
        <w:numPr>
          <w:ilvl w:val="0"/>
          <w:numId w:val="1013"/>
        </w:numPr>
      </w:pPr>
      <w:r>
        <w:t xml:space="preserve">What is the latest timeline for appointing Eric Green’s successor?</w:t>
      </w:r>
    </w:p>
    <w:p>
      <w:r>
        <w:pict>
          <v:rect style="width:0;height:1.5pt" o:hralign="center" o:hrstd="t" o:hr="t"/>
        </w:pict>
      </w:r>
    </w:p>
    <w:bookmarkEnd w:id="27"/>
    <w:bookmarkStart w:id="28" w:name="bottom-line"/>
    <w:p>
      <w:pPr>
        <w:pStyle w:val="Heading2"/>
      </w:pPr>
      <w:r>
        <w:t xml:space="preserve">Bottom line</w:t>
      </w:r>
    </w:p>
    <w:p>
      <w:pPr>
        <w:pStyle w:val="FirstParagraph"/>
      </w:pPr>
      <w:r>
        <w:t xml:space="preserve">The underlying business entered Q2 in excellent condition. Demand for biologics, GLP-1 components, NovaPure and Annex 1 upgrades was strong, while improved manufacturing execution was driving meaningful margin expansion.</w:t>
      </w:r>
    </w:p>
    <w:p>
      <w:pPr>
        <w:pStyle w:val="BodyText"/>
      </w:pPr>
      <w:r>
        <w:t xml:space="preserve">But the stock already reflects much of that strength. At approximately</w:t>
      </w:r>
      <w:r>
        <w:t xml:space="preserve"> </w:t>
      </w:r>
      <w:r>
        <w:rPr>
          <w:b/>
          <w:bCs/>
        </w:rPr>
        <w:t xml:space="preserve">42 times</w:t>
      </w:r>
      <w:r>
        <w:t xml:space="preserve"> </w:t>
      </w:r>
      <w:r>
        <w:t xml:space="preserve">the midpoint of 2026 adjusted EPS guidance and after a roughly</w:t>
      </w:r>
      <w:r>
        <w:t xml:space="preserve"> </w:t>
      </w:r>
      <w:r>
        <w:rPr>
          <w:b/>
          <w:bCs/>
        </w:rPr>
        <w:t xml:space="preserve">30% year-to-date gain</w:t>
      </w:r>
      <w:r>
        <w:t xml:space="preserve">, the burden of proof is higher.</w:t>
      </w:r>
    </w:p>
    <w:p>
      <w:pPr>
        <w:pStyle w:val="BodyText"/>
      </w:pPr>
      <w:r>
        <w:t xml:space="preserve">The most important signal will not be the headline Q2 EPS figure in isolation. It will be whether management can demonstrate that the May cyberattack caused a</w:t>
      </w:r>
      <w:r>
        <w:t xml:space="preserve"> </w:t>
      </w:r>
      <w:r>
        <w:rPr>
          <w:b/>
          <w:bCs/>
        </w:rPr>
        <w:t xml:space="preserve">temporary timing issue rather than a structural operating problem</w:t>
      </w:r>
      <w:r>
        <w:t xml:space="preserve">, while maintaining full-year guidance and confidence in second-half margin expansion. A guidance reaffirmation accompanied by clear evidence of normalized operations would likely preserve the growth thesis; an outlook cut or continuing uncertainty around production and customers would challenge the stock’s premium valuation.</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2026-07-23T00:17:49Z</dcterms:created>
  <dcterms:modified xsi:type="dcterms:W3CDTF">2026-07-23T00:17:49Z</dcterms:modified>
</cp:coreProperties>
</file>

<file path=docProps/custom.xml><?xml version="1.0" encoding="utf-8"?>
<Properties xmlns="http://schemas.openxmlformats.org/officeDocument/2006/custom-properties" xmlns:vt="http://schemas.openxmlformats.org/officeDocument/2006/docPropsVTypes"/>
</file>