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Xd66567a2f3d2ca3dbbdcffc089e96f507a23066"/>
    <w:p>
      <w:pPr>
        <w:pStyle w:val="Heading1"/>
      </w:pPr>
      <w:r>
        <w:t xml:space="preserve">Ameriprise Financial (NYSE: AMP) — Q2 2026 Earnings Preview</w:t>
      </w:r>
    </w:p>
    <w:p>
      <w:pPr>
        <w:pStyle w:val="BlockText"/>
      </w:pPr>
      <w:r>
        <w:rPr>
          <w:b/>
          <w:bCs/>
        </w:rPr>
        <w:t xml:space="preserve">Timing note:</w:t>
      </w:r>
      <w:r>
        <w:t xml:space="preserve"> </w:t>
      </w:r>
      <w:r>
        <w:t xml:space="preserve">July 23, 2026 is today, not tomorrow. Ameriprise is scheduled to release results at approximately</w:t>
      </w:r>
      <w:r>
        <w:t xml:space="preserve"> </w:t>
      </w:r>
      <w:r>
        <w:rPr>
          <w:b/>
          <w:bCs/>
        </w:rPr>
        <w:t xml:space="preserve">7:45 a.m. ET on Thursday, July 23</w:t>
      </w:r>
      <w:r>
        <w:t xml:space="preserve">, followed by its conference call at</w:t>
      </w:r>
      <w:r>
        <w:t xml:space="preserve"> </w:t>
      </w:r>
      <w:r>
        <w:rPr>
          <w:b/>
          <w:bCs/>
        </w:rPr>
        <w:t xml:space="preserve">8:30 a.m. ET</w:t>
      </w:r>
      <w:r>
        <w:t xml:space="preserve">. (</w:t>
      </w:r>
      <w:hyperlink r:id="rId9">
        <w:r>
          <w:rPr>
            <w:rStyle w:val="Hyperlink"/>
          </w:rPr>
          <w:t xml:space="preserve">ir.ameriprise.com</w:t>
        </w:r>
      </w:hyperlink>
      <w:r>
        <w:t xml:space="preserve">)</w:t>
      </w:r>
    </w:p>
    <w:bookmarkStart w:id="10" w:name="investment-view-going-into-the-report"/>
    <w:p>
      <w:pPr>
        <w:pStyle w:val="Heading2"/>
      </w:pPr>
      <w:r>
        <w:t xml:space="preserve">Investment view going into the report</w:t>
      </w:r>
    </w:p>
    <w:p>
      <w:pPr>
        <w:pStyle w:val="FirstParagraph"/>
      </w:pPr>
      <w:r>
        <w:t xml:space="preserve">The setup is favorable but no longer undemanding.</w:t>
      </w:r>
    </w:p>
    <w:p>
      <w:pPr>
        <w:pStyle w:val="BodyText"/>
      </w:pPr>
      <w:r>
        <w:t xml:space="preserve">Ameriprise enters Q2 with strong earnings momentum, rising equity markets, exceptional margins and substantial buyback capacity. The principal concern is the quality of Advice &amp; Wealth Management flows: approximately $18 billion of Comerica-related assets are expected to leave by the end of Q3, while aggressive recruiting packages across the industry have increased advisor attrition.</w:t>
      </w:r>
    </w:p>
    <w:p>
      <w:pPr>
        <w:pStyle w:val="BodyText"/>
      </w:pPr>
      <w:r>
        <w:t xml:space="preserve">The stock has rallied roughly</w:t>
      </w:r>
      <w:r>
        <w:t xml:space="preserve"> </w:t>
      </w:r>
      <w:r>
        <w:rPr>
          <w:b/>
          <w:bCs/>
        </w:rPr>
        <w:t xml:space="preserve">15% since the Q1 report through July 22</w:t>
      </w:r>
      <w:r>
        <w:t xml:space="preserve">, versus about 6% for SPY. Consequently, investors will likely require more than a routine EPS beat. The report needs to show that: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Underlying wealth-management flows remain healthy after excluding Comerica;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Margins are holding despite continued technology and growth investment;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Columbia Threadneedle’s outflows continue to improve; and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Capital returns remain near the targeted 85%–90% of operating earnings.</w:t>
      </w:r>
    </w:p>
    <w:bookmarkEnd w:id="10"/>
    <w:bookmarkStart w:id="12" w:name="street-expectations"/>
    <w:p>
      <w:pPr>
        <w:pStyle w:val="Heading2"/>
      </w:pPr>
      <w:r>
        <w:t xml:space="preserve">Street expectations</w:t>
      </w:r>
    </w:p>
    <w:p>
      <w:pPr>
        <w:pStyle w:val="FirstParagraph"/>
      </w:pPr>
      <w:r>
        <w:t xml:space="preserve">Published estimates vary somewhat by provider: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Approximate expectation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Adjusted/operating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10.60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10.80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4.8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4.9 billion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Q2 2025 adjusted operating EPS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$9.11</w:t>
            </w:r>
          </w:p>
        </w:tc>
      </w:tr>
      <w:tr>
        <w:tc>
          <w:tcPr/>
          <w:p>
            <w:pPr>
              <w:pStyle w:val="Compact"/>
            </w:pPr>
            <w:r>
              <w:t xml:space="preserve">Implied EPS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Approximately 17%–19% YoY</w:t>
            </w:r>
          </w:p>
        </w:tc>
      </w:tr>
    </w:tbl>
    <w:p>
      <w:pPr>
        <w:pStyle w:val="BodyText"/>
      </w:pPr>
      <w:r>
        <w:t xml:space="preserve">Barchart currently shows a six-analyst average of</w:t>
      </w:r>
      <w:r>
        <w:t xml:space="preserve"> </w:t>
      </w:r>
      <w:r>
        <w:rPr>
          <w:b/>
          <w:bCs/>
        </w:rPr>
        <w:t xml:space="preserve">$10.63</w:t>
      </w:r>
      <w:r>
        <w:t xml:space="preserve">, with a</w:t>
      </w:r>
      <w:r>
        <w:t xml:space="preserve"> </w:t>
      </w:r>
      <m:oMath>
        <m:r>
          <m:t>10.30</m:t>
        </m:r>
        <m:r>
          <m:rPr>
            <m:sty m:val="p"/>
          </m:rPr>
          <m:t>–</m:t>
        </m:r>
      </m:oMath>
      <w:r>
        <w:t xml:space="preserve">10.77 range, while other aggregators are closer to $10.80. (</w:t>
      </w:r>
      <w:hyperlink r:id="rId11">
        <w:r>
          <w:rPr>
            <w:rStyle w:val="Hyperlink"/>
          </w:rPr>
          <w:t xml:space="preserve">barchart.com</w:t>
        </w:r>
      </w:hyperlink>
      <w:r>
        <w:t xml:space="preserve">)</w:t>
      </w:r>
    </w:p>
    <w:p>
      <w:pPr>
        <w:pStyle w:val="BodyText"/>
      </w:pPr>
      <w:r>
        <w:t xml:space="preserve">The consensus decline from Q1’s $11.26 should not be interpreted as deterioration in the underlying franchise. Q1 benefited from a one-time Comerica termination payment, had a lower tax rate and began with a higher diluted share count than Q2 likely will.</w:t>
      </w:r>
    </w:p>
    <w:bookmarkEnd w:id="12"/>
    <w:bookmarkStart w:id="17" w:name="the-likely-eps-bridge-from-q1"/>
    <w:p>
      <w:pPr>
        <w:pStyle w:val="Heading2"/>
      </w:pPr>
      <w:r>
        <w:t xml:space="preserve">The likely EPS bridge from Q1</w:t>
      </w:r>
    </w:p>
    <w:p>
      <w:pPr>
        <w:pStyle w:val="FirstParagraph"/>
      </w:pPr>
      <w:r>
        <w:t xml:space="preserve">Ameriprise reported Q1 adjusted operating EPS of</w:t>
      </w:r>
      <w:r>
        <w:t xml:space="preserve"> </w:t>
      </w:r>
      <w:r>
        <w:rPr>
          <w:b/>
          <w:bCs/>
        </w:rPr>
        <w:t xml:space="preserve">$11.26</w:t>
      </w:r>
      <w:r>
        <w:t xml:space="preserve">, up 19%, on $4.8 billion of adjusted operating net revenue. Advice &amp; Wealth Management generated a 30% pretax margin, while Asset Management’s net pretax margin reached 44%. (</w:t>
      </w:r>
      <w:hyperlink r:id="rId13">
        <w:r>
          <w:rPr>
            <w:rStyle w:val="Hyperlink"/>
          </w:rPr>
          <w:t xml:space="preserve">ir.ameriprise.com</w:t>
        </w:r>
      </w:hyperlink>
      <w:r>
        <w:t xml:space="preserve">)</w:t>
      </w:r>
    </w:p>
    <w:p>
      <w:pPr>
        <w:pStyle w:val="BodyText"/>
      </w:pPr>
      <w:r>
        <w:t xml:space="preserve">Several identified items affect the sequential comparison:</w:t>
      </w:r>
    </w:p>
    <w:bookmarkStart w:id="14" w:name="tailwinds"/>
    <w:p>
      <w:pPr>
        <w:pStyle w:val="Heading3"/>
      </w:pPr>
      <w:r>
        <w:t xml:space="preserve">Tailwinds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One additional fee day:</w:t>
      </w:r>
      <w:r>
        <w:t xml:space="preserve"> </w:t>
      </w:r>
      <w:r>
        <w:t xml:space="preserve">Approximately</w:t>
      </w:r>
      <w:r>
        <w:t xml:space="preserve"> </w:t>
      </w:r>
      <w:r>
        <w:rPr>
          <w:b/>
          <w:bCs/>
        </w:rPr>
        <w:t xml:space="preserve">$8 million** of pretax benefit in Advice &amp; Wealth Management and **$</w:t>
      </w:r>
      <w:r>
        <w:rPr>
          <w:b/>
          <w:bCs/>
        </w:rPr>
        <w:t xml:space="preserve">5 million</w:t>
      </w:r>
      <w:r>
        <w:t xml:space="preserve"> </w:t>
      </w:r>
      <w:r>
        <w:t xml:space="preserve">in Asset Management.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One additional trading day:</w:t>
      </w:r>
      <w:r>
        <w:t xml:space="preserve"> </w:t>
      </w:r>
      <w:r>
        <w:t xml:space="preserve">Approximately</w:t>
      </w:r>
      <w:r>
        <w:t xml:space="preserve"> </w:t>
      </w:r>
      <w:r>
        <w:rPr>
          <w:b/>
          <w:bCs/>
        </w:rPr>
        <w:t xml:space="preserve">$2 million</w:t>
      </w:r>
      <w:r>
        <w:t xml:space="preserve"> </w:t>
      </w:r>
      <w:r>
        <w:t xml:space="preserve">of pretax benefit in Advice &amp; Wealth Management.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Higher market levels:</w:t>
      </w:r>
      <w:r>
        <w:t xml:space="preserve"> </w:t>
      </w:r>
      <w:r>
        <w:t xml:space="preserve">SPY ended Q2 approximately 15% above its March 31 level. Average assets—not quarter-end assets—drive most fee revenue, but this should still provide a meaningful sequential and year-over-year tailwind.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Lower share count:</w:t>
      </w:r>
      <w:r>
        <w:t xml:space="preserve"> </w:t>
      </w:r>
      <w:r>
        <w:t xml:space="preserve">Q1 included 1.6 million repurchased shares, and additional Q2 repurchases should support per-share growth.</w:t>
      </w:r>
    </w:p>
    <w:bookmarkEnd w:id="14"/>
    <w:bookmarkStart w:id="16" w:name="headwinds"/>
    <w:p>
      <w:pPr>
        <w:pStyle w:val="Heading3"/>
      </w:pPr>
      <w:r>
        <w:t xml:space="preserve">Headwinds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No repeat of the Q1 Comerica benefit:</w:t>
      </w:r>
      <w:r>
        <w:t xml:space="preserve"> </w:t>
      </w:r>
      <w:r>
        <w:t xml:space="preserve">Q1 included approximately</w:t>
      </w:r>
      <w:r>
        <w:t xml:space="preserve"> </w:t>
      </w:r>
      <w:r>
        <w:rPr>
          <w:b/>
          <w:bCs/>
        </w:rPr>
        <w:t xml:space="preserve">$25 million</w:t>
      </w:r>
      <w:r>
        <w:t xml:space="preserve"> </w:t>
      </w:r>
      <w:r>
        <w:t xml:space="preserve">pretax from terminating the Comerica relationship.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Higher tax rate:</w:t>
      </w:r>
      <w:r>
        <w:t xml:space="preserve"> </w:t>
      </w:r>
      <w:r>
        <w:t xml:space="preserve">Management expects approximately</w:t>
      </w:r>
      <w:r>
        <w:t xml:space="preserve"> </w:t>
      </w:r>
      <w:r>
        <w:rPr>
          <w:b/>
          <w:bCs/>
        </w:rPr>
        <w:t xml:space="preserve">23% in Q2</w:t>
      </w:r>
      <w:r>
        <w:t xml:space="preserve">, versus 20.2% in Q1, while retaining its 20%–22% full-year outlook.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Share-compensation mark-to-market:</w:t>
      </w:r>
      <w:r>
        <w:t xml:space="preserve"> </w:t>
      </w:r>
      <w:r>
        <w:t xml:space="preserve">Management indicated that every $1 increase in AMP’s quarter-end share price creates roughly</w:t>
      </w:r>
      <w:r>
        <w:t xml:space="preserve"> </w:t>
      </w:r>
      <m:oMath>
        <m:r>
          <m:t>100</m:t>
        </m:r>
        <m:r>
          <m:rPr>
            <m:sty m:val="p"/>
          </m:rPr>
          <m:t>,</m:t>
        </m:r>
        <m:r>
          <m:t>000</m:t>
        </m:r>
        <m:r>
          <m:rPr>
            <m:sty m:val="p"/>
          </m:rPr>
          <m:t>–</m:t>
        </m:r>
      </m:oMath>
      <w:r>
        <w:t xml:space="preserve">200,000 of additional G&amp;A expense. Based on the quarter-end price movement, this appears to be only a modest expense headwind.</w:t>
      </w:r>
    </w:p>
    <w:p>
      <w:pPr>
        <w:pStyle w:val="FirstParagraph"/>
      </w:pPr>
      <w:r>
        <w:t xml:space="preserve">Ameriprise formally disclosed the fee-day, trading-day, share-compensation and tax assumptions in its May 29 update. (</w:t>
      </w:r>
      <w:hyperlink r:id="rId15">
        <w:r>
          <w:rPr>
            <w:rStyle w:val="Hyperlink"/>
          </w:rPr>
          <w:t xml:space="preserve">s205.q4cdn.com</w:t>
        </w:r>
      </w:hyperlink>
      <w:r>
        <w:t xml:space="preserve">)</w:t>
      </w:r>
    </w:p>
    <w:p>
      <w:pPr>
        <w:pStyle w:val="BodyText"/>
      </w:pPr>
      <w:r>
        <w:t xml:space="preserve">Taken together, the higher tax rate and loss of the Comerica payment largely explain why consensus EPS sits below Q1 despite stronger equity markets.</w:t>
      </w:r>
    </w:p>
    <w:bookmarkEnd w:id="16"/>
    <w:bookmarkEnd w:id="17"/>
    <w:bookmarkStart w:id="23" w:name="what-matters-most"/>
    <w:p>
      <w:pPr>
        <w:pStyle w:val="Heading2"/>
      </w:pPr>
      <w:r>
        <w:t xml:space="preserve">What matters most</w:t>
      </w:r>
    </w:p>
    <w:bookmarkStart w:id="18" w:name="Xb3c511c26104260a2d1bfb172a3c64a84321f15"/>
    <w:p>
      <w:pPr>
        <w:pStyle w:val="Heading3"/>
      </w:pPr>
      <w:r>
        <w:t xml:space="preserve">1. Wealth flows: separate the noise from the franchise</w:t>
      </w:r>
    </w:p>
    <w:p>
      <w:pPr>
        <w:pStyle w:val="FirstParagraph"/>
      </w:pPr>
      <w:r>
        <w:t xml:space="preserve">Q1 Advice &amp; Wealth Management metrics were strong overall:</w:t>
      </w:r>
    </w:p>
    <w:p>
      <w:pPr>
        <w:pStyle w:val="Compact"/>
        <w:numPr>
          <w:ilvl w:val="0"/>
          <w:numId w:val="1004"/>
        </w:numPr>
      </w:pPr>
      <w:r>
        <w:t xml:space="preserve">Total client assets:</w:t>
      </w:r>
      <w:r>
        <w:t xml:space="preserve"> </w:t>
      </w:r>
      <w:r>
        <w:rPr>
          <w:b/>
          <w:bCs/>
        </w:rPr>
        <w:t xml:space="preserve">$1.15 trillion</w:t>
      </w:r>
      <w:r>
        <w:t xml:space="preserve">, up 12%</w:t>
      </w:r>
    </w:p>
    <w:p>
      <w:pPr>
        <w:pStyle w:val="Compact"/>
        <w:numPr>
          <w:ilvl w:val="0"/>
          <w:numId w:val="1004"/>
        </w:numPr>
      </w:pPr>
      <w:r>
        <w:t xml:space="preserve">Wrap assets:</w:t>
      </w:r>
      <w:r>
        <w:t xml:space="preserve"> </w:t>
      </w:r>
      <w:r>
        <w:rPr>
          <w:b/>
          <w:bCs/>
        </w:rPr>
        <w:t xml:space="preserve">$664 billion</w:t>
      </w:r>
      <w:r>
        <w:t xml:space="preserve">, up 16%</w:t>
      </w:r>
    </w:p>
    <w:p>
      <w:pPr>
        <w:pStyle w:val="Compact"/>
        <w:numPr>
          <w:ilvl w:val="0"/>
          <w:numId w:val="1004"/>
        </w:numPr>
      </w:pPr>
      <w:r>
        <w:t xml:space="preserve">Wrap net inflows:</w:t>
      </w:r>
      <w:r>
        <w:t xml:space="preserve"> </w:t>
      </w:r>
      <w:r>
        <w:rPr>
          <w:b/>
          <w:bCs/>
        </w:rPr>
        <w:t xml:space="preserve">$6.0 billion</w:t>
      </w:r>
    </w:p>
    <w:p>
      <w:pPr>
        <w:pStyle w:val="Compact"/>
        <w:numPr>
          <w:ilvl w:val="0"/>
          <w:numId w:val="1004"/>
        </w:numPr>
      </w:pPr>
      <w:r>
        <w:t xml:space="preserve">Total client flows:</w:t>
      </w:r>
      <w:r>
        <w:t xml:space="preserve"> </w:t>
      </w:r>
      <w:r>
        <w:rPr>
          <w:b/>
          <w:bCs/>
        </w:rPr>
        <w:t xml:space="preserve">$4.2 billion</w:t>
      </w:r>
    </w:p>
    <w:p>
      <w:pPr>
        <w:pStyle w:val="Compact"/>
        <w:numPr>
          <w:ilvl w:val="0"/>
          <w:numId w:val="1004"/>
        </w:numPr>
      </w:pPr>
      <w:r>
        <w:t xml:space="preserve">Revenue per advisor: approximately</w:t>
      </w:r>
      <w:r>
        <w:t xml:space="preserve"> </w:t>
      </w:r>
      <w:r>
        <w:rPr>
          <w:b/>
          <w:bCs/>
        </w:rPr>
        <w:t xml:space="preserve">$1.16 million</w:t>
      </w:r>
      <w:r>
        <w:t xml:space="preserve">, up 10%</w:t>
      </w:r>
    </w:p>
    <w:p>
      <w:pPr>
        <w:pStyle w:val="Compact"/>
        <w:numPr>
          <w:ilvl w:val="0"/>
          <w:numId w:val="1004"/>
        </w:numPr>
      </w:pPr>
      <w:r>
        <w:t xml:space="preserve">Pretax adjusted operating margin:</w:t>
      </w:r>
      <w:r>
        <w:t xml:space="preserve"> </w:t>
      </w:r>
      <w:r>
        <w:rPr>
          <w:b/>
          <w:bCs/>
        </w:rPr>
        <w:t xml:space="preserve">30.0%</w:t>
      </w:r>
    </w:p>
    <w:p>
      <w:pPr>
        <w:pStyle w:val="FirstParagraph"/>
      </w:pPr>
      <w:r>
        <w:t xml:space="preserve">The weakness was that wrap flows declined from $8.7 billion a year earlier, while total client flows fell from $10.3 billion. The company attributed much of that deterioration to advisor departures and the acceleration of Comerica outflows. (</w:t>
      </w:r>
      <w:hyperlink r:id="rId13">
        <w:r>
          <w:rPr>
            <w:rStyle w:val="Hyperlink"/>
          </w:rPr>
          <w:t xml:space="preserve">ir.ameriprise.com</w:t>
        </w:r>
      </w:hyperlink>
      <w:r>
        <w:t xml:space="preserve">)</w:t>
      </w:r>
    </w:p>
    <w:p>
      <w:pPr>
        <w:pStyle w:val="BodyText"/>
      </w:pPr>
      <w:r>
        <w:rPr>
          <w:b/>
          <w:bCs/>
        </w:rPr>
        <w:t xml:space="preserve">The headline flow number may be poor in Q2 without indicating weaker economics.</w:t>
      </w:r>
      <w:r>
        <w:t xml:space="preserve"> </w:t>
      </w:r>
      <w:r>
        <w:t xml:space="preserve">Management has said the approximately $18 billion Comerica relationship should be fully transferred by the end of Q3 and that the financial impact is immaterial following the termination payment.</w:t>
      </w:r>
    </w:p>
    <w:p>
      <w:pPr>
        <w:pStyle w:val="BodyText"/>
      </w:pPr>
      <w:r>
        <w:t xml:space="preserve">Investors should therefore focus on:</w:t>
      </w:r>
    </w:p>
    <w:p>
      <w:pPr>
        <w:pStyle w:val="Compact"/>
        <w:numPr>
          <w:ilvl w:val="0"/>
          <w:numId w:val="1005"/>
        </w:numPr>
      </w:pPr>
      <w:r>
        <w:t xml:space="preserve">Same-store flows from existing advisors;</w:t>
      </w:r>
    </w:p>
    <w:p>
      <w:pPr>
        <w:pStyle w:val="Compact"/>
        <w:numPr>
          <w:ilvl w:val="0"/>
          <w:numId w:val="1005"/>
        </w:numPr>
      </w:pPr>
      <w:r>
        <w:t xml:space="preserve">Assets tied specifically to Comerica departures;</w:t>
      </w:r>
    </w:p>
    <w:p>
      <w:pPr>
        <w:pStyle w:val="Compact"/>
        <w:numPr>
          <w:ilvl w:val="0"/>
          <w:numId w:val="1005"/>
        </w:numPr>
      </w:pPr>
      <w:r>
        <w:t xml:space="preserve">Non-Comerica advisor attrition;</w:t>
      </w:r>
    </w:p>
    <w:p>
      <w:pPr>
        <w:pStyle w:val="Compact"/>
        <w:numPr>
          <w:ilvl w:val="0"/>
          <w:numId w:val="1005"/>
        </w:numPr>
      </w:pPr>
      <w:r>
        <w:t xml:space="preserve">Advisor recruiting and retention;</w:t>
      </w:r>
    </w:p>
    <w:p>
      <w:pPr>
        <w:pStyle w:val="Compact"/>
        <w:numPr>
          <w:ilvl w:val="0"/>
          <w:numId w:val="1005"/>
        </w:numPr>
      </w:pPr>
      <w:r>
        <w:t xml:space="preserve">Adoption of the Signature Wealth platform; and</w:t>
      </w:r>
    </w:p>
    <w:p>
      <w:pPr>
        <w:pStyle w:val="Compact"/>
        <w:numPr>
          <w:ilvl w:val="0"/>
          <w:numId w:val="1005"/>
        </w:numPr>
      </w:pPr>
      <w:r>
        <w:t xml:space="preserve">Whether management still views 4%–5% organic growth as achievable over time.</w:t>
      </w:r>
    </w:p>
    <w:p>
      <w:pPr>
        <w:pStyle w:val="FirstParagraph"/>
      </w:pPr>
      <w:r>
        <w:t xml:space="preserve">The Huntington Bank relationship is important strategically, but it is expected to add approximately</w:t>
      </w:r>
      <w:r>
        <w:t xml:space="preserve"> </w:t>
      </w:r>
      <w:r>
        <w:rPr>
          <w:b/>
          <w:bCs/>
        </w:rPr>
        <w:t xml:space="preserve">260 advisors and $28 billion of assets primarily in Q4</w:t>
      </w:r>
      <w:r>
        <w:t xml:space="preserve">, so it should not benefit Q2 flows.</w:t>
      </w:r>
    </w:p>
    <w:bookmarkEnd w:id="18"/>
    <w:bookmarkStart w:id="19" w:name="X990c90505d539d2221c422ed6e10c1bff7adf48"/>
    <w:p>
      <w:pPr>
        <w:pStyle w:val="Heading3"/>
      </w:pPr>
      <w:r>
        <w:t xml:space="preserve">2. Can the 30% wealth-management margin hold?</w:t>
      </w:r>
    </w:p>
    <w:p>
      <w:pPr>
        <w:pStyle w:val="FirstParagraph"/>
      </w:pPr>
      <w:r>
        <w:t xml:space="preserve">AWM earnings increased 20% in Q1, or approximately 17% excluding the Comerica payment. Core distribution earnings grew in the mid-30% range, demonstrating that Ameriprise’s profitability is driven primarily by advisory and transactional revenue rather than cash-sweep economics.</w:t>
      </w:r>
    </w:p>
    <w:p>
      <w:pPr>
        <w:pStyle w:val="BodyText"/>
      </w:pPr>
      <w:r>
        <w:t xml:space="preserve">The key question is whether the Q1 margin was near a sustainable run rate. Relevant moving pieces include:</w:t>
      </w:r>
    </w:p>
    <w:p>
      <w:pPr>
        <w:pStyle w:val="Compact"/>
        <w:numPr>
          <w:ilvl w:val="0"/>
          <w:numId w:val="1006"/>
        </w:numPr>
      </w:pPr>
      <w:r>
        <w:t xml:space="preserve">Higher fee-based assets and transaction activity;</w:t>
      </w:r>
    </w:p>
    <w:p>
      <w:pPr>
        <w:pStyle w:val="Compact"/>
        <w:numPr>
          <w:ilvl w:val="0"/>
          <w:numId w:val="1006"/>
        </w:numPr>
      </w:pPr>
      <w:r>
        <w:t xml:space="preserve">Expense growth associated with Signature Wealth, banking products and technology;</w:t>
      </w:r>
    </w:p>
    <w:p>
      <w:pPr>
        <w:pStyle w:val="Compact"/>
        <w:numPr>
          <w:ilvl w:val="0"/>
          <w:numId w:val="1006"/>
        </w:numPr>
      </w:pPr>
      <w:r>
        <w:t xml:space="preserve">Advisor compensation rising with revenue;</w:t>
      </w:r>
    </w:p>
    <w:p>
      <w:pPr>
        <w:pStyle w:val="Compact"/>
        <w:numPr>
          <w:ilvl w:val="0"/>
          <w:numId w:val="1006"/>
        </w:numPr>
      </w:pPr>
      <w:r>
        <w:t xml:space="preserve">Recruiting and retention costs;</w:t>
      </w:r>
    </w:p>
    <w:p>
      <w:pPr>
        <w:pStyle w:val="Compact"/>
        <w:numPr>
          <w:ilvl w:val="0"/>
          <w:numId w:val="1006"/>
        </w:numPr>
      </w:pPr>
      <w:r>
        <w:t xml:space="preserve">The higher tax rate, which affects EPS but not segment pretax margin; and</w:t>
      </w:r>
    </w:p>
    <w:p>
      <w:pPr>
        <w:pStyle w:val="Compact"/>
        <w:numPr>
          <w:ilvl w:val="0"/>
          <w:numId w:val="1006"/>
        </w:numPr>
      </w:pPr>
      <w:r>
        <w:t xml:space="preserve">The absence of the $25 million Comerica benefit.</w:t>
      </w:r>
    </w:p>
    <w:p>
      <w:pPr>
        <w:pStyle w:val="FirstParagraph"/>
      </w:pPr>
      <w:r>
        <w:t xml:space="preserve">A result around</w:t>
      </w:r>
      <w:r>
        <w:t xml:space="preserve"> </w:t>
      </w:r>
      <w:r>
        <w:rPr>
          <w:b/>
          <w:bCs/>
        </w:rPr>
        <w:t xml:space="preserve">29%–30%</w:t>
      </w:r>
      <w:r>
        <w:t xml:space="preserve"> </w:t>
      </w:r>
      <w:r>
        <w:t xml:space="preserve">would be reassuring. A materially lower margin accompanied by elevated retention spending would warrant scrutiny.</w:t>
      </w:r>
    </w:p>
    <w:bookmarkEnd w:id="19"/>
    <w:bookmarkStart w:id="20" w:name="X7e61cd3b907e36c1eb0585188742ca1a514ec30"/>
    <w:p>
      <w:pPr>
        <w:pStyle w:val="Heading3"/>
      </w:pPr>
      <w:r>
        <w:t xml:space="preserve">3. Columbia Threadneedle: flow improvement versus a demanding margin comparison</w:t>
      </w:r>
    </w:p>
    <w:p>
      <w:pPr>
        <w:pStyle w:val="FirstParagraph"/>
      </w:pPr>
      <w:r>
        <w:t xml:space="preserve">Asset Management had an unusually strong Q1:</w:t>
      </w:r>
    </w:p>
    <w:p>
      <w:pPr>
        <w:pStyle w:val="Compact"/>
        <w:numPr>
          <w:ilvl w:val="0"/>
          <w:numId w:val="1007"/>
        </w:numPr>
      </w:pPr>
      <w:r>
        <w:t xml:space="preserve">AUM and AUA:</w:t>
      </w:r>
      <w:r>
        <w:t xml:space="preserve"> </w:t>
      </w:r>
      <w:r>
        <w:rPr>
          <w:b/>
          <w:bCs/>
        </w:rPr>
        <w:t xml:space="preserve">$706 billion</w:t>
      </w:r>
      <w:r>
        <w:t xml:space="preserve">, up 8%</w:t>
      </w:r>
    </w:p>
    <w:p>
      <w:pPr>
        <w:pStyle w:val="Compact"/>
        <w:numPr>
          <w:ilvl w:val="0"/>
          <w:numId w:val="1007"/>
        </w:numPr>
      </w:pPr>
      <w:r>
        <w:t xml:space="preserve">Net outflows:</w:t>
      </w:r>
      <w:r>
        <w:t xml:space="preserve"> </w:t>
      </w:r>
      <w:r>
        <w:rPr>
          <w:b/>
          <w:bCs/>
        </w:rPr>
        <w:t xml:space="preserve">$5.9 billion</w:t>
      </w:r>
      <w:r>
        <w:t xml:space="preserve">, versus $18.3 billion a year earlier</w:t>
      </w:r>
    </w:p>
    <w:p>
      <w:pPr>
        <w:pStyle w:val="Compact"/>
        <w:numPr>
          <w:ilvl w:val="0"/>
          <w:numId w:val="1007"/>
        </w:numPr>
      </w:pPr>
      <w:r>
        <w:t xml:space="preserve">Pretax adjusted operating earnings:</w:t>
      </w:r>
      <w:r>
        <w:t xml:space="preserve"> </w:t>
      </w:r>
      <w:r>
        <w:rPr>
          <w:b/>
          <w:bCs/>
        </w:rPr>
        <w:t xml:space="preserve">$273 million</w:t>
      </w:r>
      <w:r>
        <w:t xml:space="preserve">, up 13%</w:t>
      </w:r>
    </w:p>
    <w:p>
      <w:pPr>
        <w:pStyle w:val="Compact"/>
        <w:numPr>
          <w:ilvl w:val="0"/>
          <w:numId w:val="1007"/>
        </w:numPr>
      </w:pPr>
      <w:r>
        <w:t xml:space="preserve">Net pretax adjusted operating margin:</w:t>
      </w:r>
      <w:r>
        <w:t xml:space="preserve"> </w:t>
      </w:r>
      <w:r>
        <w:rPr>
          <w:b/>
          <w:bCs/>
        </w:rPr>
        <w:t xml:space="preserve">43.8%</w:t>
      </w:r>
    </w:p>
    <w:p>
      <w:pPr>
        <w:pStyle w:val="FirstParagraph"/>
      </w:pPr>
      <w:r>
        <w:t xml:space="preserve">The 44% margin was well above management’s historical 35%–39% target range. Stronger markets should support Q2 fees, while the additional fee day contributes approximately $5 million pretax. However, the most important indicators are:</w:t>
      </w:r>
    </w:p>
    <w:p>
      <w:pPr>
        <w:pStyle w:val="Compact"/>
        <w:numPr>
          <w:ilvl w:val="0"/>
          <w:numId w:val="1008"/>
        </w:numPr>
      </w:pPr>
      <w:r>
        <w:t xml:space="preserve">Whether retail outflows continue to moderate;</w:t>
      </w:r>
    </w:p>
    <w:p>
      <w:pPr>
        <w:pStyle w:val="Compact"/>
        <w:numPr>
          <w:ilvl w:val="0"/>
          <w:numId w:val="1008"/>
        </w:numPr>
      </w:pPr>
      <w:r>
        <w:t xml:space="preserve">Institutional mandates and redemptions;</w:t>
      </w:r>
    </w:p>
    <w:p>
      <w:pPr>
        <w:pStyle w:val="Compact"/>
        <w:numPr>
          <w:ilvl w:val="0"/>
          <w:numId w:val="1008"/>
        </w:numPr>
      </w:pPr>
      <w:r>
        <w:t xml:space="preserve">Stability of the underlying fee rate;</w:t>
      </w:r>
    </w:p>
    <w:p>
      <w:pPr>
        <w:pStyle w:val="Compact"/>
        <w:numPr>
          <w:ilvl w:val="0"/>
          <w:numId w:val="1008"/>
        </w:numPr>
      </w:pPr>
      <w:r>
        <w:t xml:space="preserve">ETF, SMA and model-delivery flows;</w:t>
      </w:r>
    </w:p>
    <w:p>
      <w:pPr>
        <w:pStyle w:val="Compact"/>
        <w:numPr>
          <w:ilvl w:val="0"/>
          <w:numId w:val="1008"/>
        </w:numPr>
      </w:pPr>
      <w:r>
        <w:t xml:space="preserve">Investment-performance metrics; and</w:t>
      </w:r>
    </w:p>
    <w:p>
      <w:pPr>
        <w:pStyle w:val="Compact"/>
        <w:numPr>
          <w:ilvl w:val="0"/>
          <w:numId w:val="1008"/>
        </w:numPr>
      </w:pPr>
      <w:r>
        <w:t xml:space="preserve">Timing of back-office outsourcing benefits.</w:t>
      </w:r>
    </w:p>
    <w:p>
      <w:pPr>
        <w:pStyle w:val="FirstParagraph"/>
      </w:pPr>
      <w:r>
        <w:t xml:space="preserve">A modest margin normalization would not be concerning if flows and gross sales improve. Conversely, another quarter of heavy outflows masked by market appreciation would reduce the quality of the result.</w:t>
      </w:r>
    </w:p>
    <w:bookmarkEnd w:id="20"/>
    <w:bookmarkStart w:id="21" w:name="X6fbcce28995293f48dec109f8c2062676852fb8"/>
    <w:p>
      <w:pPr>
        <w:pStyle w:val="Heading3"/>
      </w:pPr>
      <w:r>
        <w:t xml:space="preserve">4. Retirement &amp; Protection should move back toward its run rate</w:t>
      </w:r>
    </w:p>
    <w:p>
      <w:pPr>
        <w:pStyle w:val="FirstParagraph"/>
      </w:pPr>
      <w:r>
        <w:t xml:space="preserve">Retirement &amp; Protection earned</w:t>
      </w:r>
      <w:r>
        <w:t xml:space="preserve"> </w:t>
      </w:r>
      <w:r>
        <w:rPr>
          <w:b/>
          <w:bCs/>
        </w:rPr>
        <w:t xml:space="preserve">$190 million pretax</w:t>
      </w:r>
      <w:r>
        <w:t xml:space="preserve"> </w:t>
      </w:r>
      <w:r>
        <w:t xml:space="preserve">in Q1, down 12%, reflecting higher distribution costs from strong sales and continued runoff of variable annuities with living benefits.</w:t>
      </w:r>
    </w:p>
    <w:p>
      <w:pPr>
        <w:pStyle w:val="BodyText"/>
      </w:pPr>
      <w:r>
        <w:t xml:space="preserve">Management continues to frame this business as capable of producing approximately</w:t>
      </w:r>
      <w:r>
        <w:t xml:space="preserve"> </w:t>
      </w:r>
      <w:r>
        <w:rPr>
          <w:b/>
          <w:bCs/>
        </w:rPr>
        <w:t xml:space="preserve">$800 million of annual pretax adjusted operating earnings</w:t>
      </w:r>
      <w:r>
        <w:t xml:space="preserve">, implying roughly $200 million per quarter over time. Investors should look for Q2 earnings closer to that level, while recognizing that strong new-product sales can initially raise distribution expense.</w:t>
      </w:r>
    </w:p>
    <w:p>
      <w:pPr>
        <w:pStyle w:val="BodyText"/>
      </w:pPr>
      <w:r>
        <w:t xml:space="preserve">Continued movement away from living-benefit guarantees toward structured annuities and other lower-risk products would be strategically positive even if it creates some quarterly earnings noise.</w:t>
      </w:r>
    </w:p>
    <w:bookmarkEnd w:id="21"/>
    <w:bookmarkStart w:id="22" w:name="X8b2e21eed50741a8298453b998c9f861d263ece"/>
    <w:p>
      <w:pPr>
        <w:pStyle w:val="Heading3"/>
      </w:pPr>
      <w:r>
        <w:t xml:space="preserve">5. Capital return remains central to the thesis</w:t>
      </w:r>
    </w:p>
    <w:p>
      <w:pPr>
        <w:pStyle w:val="FirstParagraph"/>
      </w:pPr>
      <w:r>
        <w:t xml:space="preserve">Ameriprise returned</w:t>
      </w:r>
      <w:r>
        <w:t xml:space="preserve"> </w:t>
      </w:r>
      <w:r>
        <w:rPr>
          <w:b/>
          <w:bCs/>
        </w:rPr>
        <w:t xml:space="preserve">$936 million</w:t>
      </w:r>
      <w:r>
        <w:t xml:space="preserve">, or 88% of Q1 operating earnings, through dividends and repurchases. Management indicated that capital return should generally remain around</w:t>
      </w:r>
      <w:r>
        <w:t xml:space="preserve"> </w:t>
      </w:r>
      <w:r>
        <w:rPr>
          <w:b/>
          <w:bCs/>
        </w:rPr>
        <w:t xml:space="preserve">85%–90% of operating earnings</w:t>
      </w:r>
      <w:r>
        <w:t xml:space="preserve">, with flexibility to buy more aggressively when the valuation is attractive.</w:t>
      </w:r>
    </w:p>
    <w:p>
      <w:pPr>
        <w:pStyle w:val="BodyText"/>
      </w:pPr>
      <w:r>
        <w:t xml:space="preserve">The company entered Q2 with approximately: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$2.3 billion of excess capital;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$2.3 billion of available holding-company liquidity;</w:t>
      </w:r>
      <w:r>
        <w:t xml:space="preserve"> </w:t>
      </w:r>
      <w:r>
        <w:t xml:space="preserve">and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$1.8 billion remaining under its repurchase authorization</w:t>
      </w:r>
      <w:r>
        <w:t xml:space="preserve"> </w:t>
      </w:r>
      <w:r>
        <w:t xml:space="preserve">as of March 31.</w:t>
      </w:r>
    </w:p>
    <w:p>
      <w:pPr>
        <w:pStyle w:val="FirstParagraph"/>
      </w:pPr>
      <w:r>
        <w:t xml:space="preserve">With the shares trading around 12 times the current 2026 EPS consensus, continued repurchases remain accretive. The questions are how aggressively the company bought during the lower share-price period in May and June, and whether the recent rally changes management’s pace.</w:t>
      </w:r>
    </w:p>
    <w:bookmarkEnd w:id="22"/>
    <w:bookmarkEnd w:id="23"/>
    <w:bookmarkStart w:id="27" w:name="bull-base-and-bear-interpretations"/>
    <w:p>
      <w:pPr>
        <w:pStyle w:val="Heading2"/>
      </w:pPr>
      <w:r>
        <w:t xml:space="preserve">Bull, base and bear interpretations</w:t>
      </w:r>
    </w:p>
    <w:bookmarkStart w:id="24" w:name="bull-case"/>
    <w:p>
      <w:pPr>
        <w:pStyle w:val="Heading3"/>
      </w:pPr>
      <w:r>
        <w:t xml:space="preserve">Bull case</w:t>
      </w:r>
    </w:p>
    <w:p>
      <w:pPr>
        <w:pStyle w:val="Compact"/>
        <w:numPr>
          <w:ilvl w:val="0"/>
          <w:numId w:val="1010"/>
        </w:numPr>
      </w:pPr>
      <w:r>
        <w:t xml:space="preserve">EPS above roughly</w:t>
      </w:r>
      <w:r>
        <w:t xml:space="preserve"> </w:t>
      </w:r>
      <w:r>
        <w:rPr>
          <w:b/>
          <w:bCs/>
        </w:rPr>
        <w:t xml:space="preserve">$11.00</w:t>
      </w:r>
    </w:p>
    <w:p>
      <w:pPr>
        <w:pStyle w:val="Compact"/>
        <w:numPr>
          <w:ilvl w:val="0"/>
          <w:numId w:val="1010"/>
        </w:numPr>
      </w:pPr>
      <w:r>
        <w:t xml:space="preserve">Core AWM flows remain solid after isolating Comerica</w:t>
      </w:r>
    </w:p>
    <w:p>
      <w:pPr>
        <w:pStyle w:val="Compact"/>
        <w:numPr>
          <w:ilvl w:val="0"/>
          <w:numId w:val="1010"/>
        </w:numPr>
      </w:pPr>
      <w:r>
        <w:t xml:space="preserve">AWM margin holds near 30%</w:t>
      </w:r>
    </w:p>
    <w:p>
      <w:pPr>
        <w:pStyle w:val="Compact"/>
        <w:numPr>
          <w:ilvl w:val="0"/>
          <w:numId w:val="1010"/>
        </w:numPr>
      </w:pPr>
      <w:r>
        <w:t xml:space="preserve">Asset Management outflows improve further</w:t>
      </w:r>
    </w:p>
    <w:p>
      <w:pPr>
        <w:pStyle w:val="Compact"/>
        <w:numPr>
          <w:ilvl w:val="0"/>
          <w:numId w:val="1010"/>
        </w:numPr>
      </w:pPr>
      <w:r>
        <w:t xml:space="preserve">Buybacks remain near the upper end of the capital-return range</w:t>
      </w:r>
    </w:p>
    <w:p>
      <w:pPr>
        <w:pStyle w:val="Compact"/>
        <w:numPr>
          <w:ilvl w:val="0"/>
          <w:numId w:val="1010"/>
        </w:numPr>
      </w:pPr>
      <w:r>
        <w:t xml:space="preserve">Management is constructive on advisor recruiting and Signature Wealth adoption</w:t>
      </w:r>
    </w:p>
    <w:bookmarkEnd w:id="24"/>
    <w:bookmarkStart w:id="25" w:name="base-case"/>
    <w:p>
      <w:pPr>
        <w:pStyle w:val="Heading3"/>
      </w:pPr>
      <w:r>
        <w:t xml:space="preserve">Base case</w:t>
      </w:r>
    </w:p>
    <w:p>
      <w:pPr>
        <w:pStyle w:val="Compact"/>
        <w:numPr>
          <w:ilvl w:val="0"/>
          <w:numId w:val="1011"/>
        </w:numPr>
      </w:pPr>
      <w:r>
        <w:t xml:space="preserve">EPS around</w:t>
      </w:r>
      <w:r>
        <w:t xml:space="preserve"> </w:t>
      </w:r>
      <m:oMath>
        <m:r>
          <m:t>10.60</m:t>
        </m:r>
        <m:r>
          <m:rPr>
            <m:sty m:val="p"/>
          </m:rPr>
          <m:t>–</m:t>
        </m:r>
      </m:oMath>
      <w:r>
        <w:rPr>
          <w:b/>
          <w:bCs/>
        </w:rPr>
        <w:t xml:space="preserve">10.90</w:t>
      </w:r>
    </w:p>
    <w:p>
      <w:pPr>
        <w:pStyle w:val="Compact"/>
        <w:numPr>
          <w:ilvl w:val="0"/>
          <w:numId w:val="1011"/>
        </w:numPr>
      </w:pPr>
      <w:r>
        <w:t xml:space="preserve">Weak headline flows but credible Comerica disclosure</w:t>
      </w:r>
    </w:p>
    <w:p>
      <w:pPr>
        <w:pStyle w:val="Compact"/>
        <w:numPr>
          <w:ilvl w:val="0"/>
          <w:numId w:val="1011"/>
        </w:numPr>
      </w:pPr>
      <w:r>
        <w:t xml:space="preserve">AWM margin around 29%</w:t>
      </w:r>
    </w:p>
    <w:p>
      <w:pPr>
        <w:pStyle w:val="Compact"/>
        <w:numPr>
          <w:ilvl w:val="0"/>
          <w:numId w:val="1011"/>
        </w:numPr>
      </w:pPr>
      <w:r>
        <w:t xml:space="preserve">Asset Management margin normalizes modestly but remains above target</w:t>
      </w:r>
    </w:p>
    <w:p>
      <w:pPr>
        <w:pStyle w:val="Compact"/>
        <w:numPr>
          <w:ilvl w:val="0"/>
          <w:numId w:val="1011"/>
        </w:numPr>
      </w:pPr>
      <w:r>
        <w:t xml:space="preserve">No change to full-year tax or capital-return expectations</w:t>
      </w:r>
    </w:p>
    <w:bookmarkEnd w:id="25"/>
    <w:bookmarkStart w:id="26" w:name="bear-case"/>
    <w:p>
      <w:pPr>
        <w:pStyle w:val="Heading3"/>
      </w:pPr>
      <w:r>
        <w:t xml:space="preserve">Bear case</w:t>
      </w:r>
    </w:p>
    <w:p>
      <w:pPr>
        <w:pStyle w:val="Compact"/>
        <w:numPr>
          <w:ilvl w:val="0"/>
          <w:numId w:val="1012"/>
        </w:numPr>
      </w:pPr>
      <w:r>
        <w:t xml:space="preserve">EPS below roughly</w:t>
      </w:r>
      <w:r>
        <w:t xml:space="preserve"> </w:t>
      </w:r>
      <w:r>
        <w:rPr>
          <w:b/>
          <w:bCs/>
        </w:rPr>
        <w:t xml:space="preserve">$10.30</w:t>
      </w:r>
    </w:p>
    <w:p>
      <w:pPr>
        <w:pStyle w:val="Compact"/>
        <w:numPr>
          <w:ilvl w:val="0"/>
          <w:numId w:val="1012"/>
        </w:numPr>
      </w:pPr>
      <w:r>
        <w:t xml:space="preserve">Wealth outflows extend beyond Comerica and indicate broader advisor attrition</w:t>
      </w:r>
    </w:p>
    <w:p>
      <w:pPr>
        <w:pStyle w:val="Compact"/>
        <w:numPr>
          <w:ilvl w:val="0"/>
          <w:numId w:val="1012"/>
        </w:numPr>
      </w:pPr>
      <w:r>
        <w:t xml:space="preserve">Material retention spending pressures margins</w:t>
      </w:r>
    </w:p>
    <w:p>
      <w:pPr>
        <w:pStyle w:val="Compact"/>
        <w:numPr>
          <w:ilvl w:val="0"/>
          <w:numId w:val="1012"/>
        </w:numPr>
      </w:pPr>
      <w:r>
        <w:t xml:space="preserve">Columbia Threadneedle outflows reaccelerate</w:t>
      </w:r>
    </w:p>
    <w:p>
      <w:pPr>
        <w:pStyle w:val="Compact"/>
        <w:numPr>
          <w:ilvl w:val="0"/>
          <w:numId w:val="1012"/>
        </w:numPr>
      </w:pPr>
      <w:r>
        <w:t xml:space="preserve">Capital return falls below the targeted range without a clear strategic use for excess capital</w:t>
      </w:r>
    </w:p>
    <w:bookmarkEnd w:id="26"/>
    <w:bookmarkEnd w:id="27"/>
    <w:bookmarkStart w:id="28" w:name="questions-management-should-answer"/>
    <w:p>
      <w:pPr>
        <w:pStyle w:val="Heading2"/>
      </w:pPr>
      <w:r>
        <w:t xml:space="preserve">Questions management should answer</w:t>
      </w:r>
    </w:p>
    <w:p>
      <w:pPr>
        <w:pStyle w:val="Compact"/>
        <w:numPr>
          <w:ilvl w:val="0"/>
          <w:numId w:val="1013"/>
        </w:numPr>
      </w:pPr>
      <w:r>
        <w:t xml:space="preserve">What were Q2 AWM flows excluding Comerica and other advisor departures?</w:t>
      </w:r>
    </w:p>
    <w:p>
      <w:pPr>
        <w:pStyle w:val="Compact"/>
        <w:numPr>
          <w:ilvl w:val="0"/>
          <w:numId w:val="1013"/>
        </w:numPr>
      </w:pPr>
      <w:r>
        <w:t xml:space="preserve">How much of the original $18 billion in Comerica assets remains to transfer?</w:t>
      </w:r>
    </w:p>
    <w:p>
      <w:pPr>
        <w:pStyle w:val="Compact"/>
        <w:numPr>
          <w:ilvl w:val="0"/>
          <w:numId w:val="1013"/>
        </w:numPr>
      </w:pPr>
      <w:r>
        <w:t xml:space="preserve">Is advisor recruiting improving without materially lengthening cash payback periods?</w:t>
      </w:r>
    </w:p>
    <w:p>
      <w:pPr>
        <w:pStyle w:val="Compact"/>
        <w:numPr>
          <w:ilvl w:val="0"/>
          <w:numId w:val="1013"/>
        </w:numPr>
      </w:pPr>
      <w:r>
        <w:t xml:space="preserve">Is the 30% AWM margin sustainable after excluding the termination benefit?</w:t>
      </w:r>
    </w:p>
    <w:p>
      <w:pPr>
        <w:pStyle w:val="Compact"/>
        <w:numPr>
          <w:ilvl w:val="0"/>
          <w:numId w:val="1013"/>
        </w:numPr>
      </w:pPr>
      <w:r>
        <w:t xml:space="preserve">How much has entered Signature Wealth, and what proportion is new to Ameriprise?</w:t>
      </w:r>
    </w:p>
    <w:p>
      <w:pPr>
        <w:pStyle w:val="Compact"/>
        <w:numPr>
          <w:ilvl w:val="0"/>
          <w:numId w:val="1013"/>
        </w:numPr>
      </w:pPr>
      <w:r>
        <w:t xml:space="preserve">Are Columbia Threadneedle retail and institutional gross sales continuing to improve?</w:t>
      </w:r>
    </w:p>
    <w:p>
      <w:pPr>
        <w:pStyle w:val="Compact"/>
        <w:numPr>
          <w:ilvl w:val="0"/>
          <w:numId w:val="1013"/>
        </w:numPr>
      </w:pPr>
      <w:r>
        <w:t xml:space="preserve">When will back-office outsourcing begin contributing meaningfully to Asset Management expenses?</w:t>
      </w:r>
    </w:p>
    <w:p>
      <w:pPr>
        <w:pStyle w:val="Compact"/>
        <w:numPr>
          <w:ilvl w:val="0"/>
          <w:numId w:val="1013"/>
        </w:numPr>
      </w:pPr>
      <w:r>
        <w:t xml:space="preserve">What was the Q2 capital-return ratio, and how should investors think about repurchases after the recent share-price rally?</w:t>
      </w:r>
    </w:p>
    <w:p>
      <w:pPr>
        <w:pStyle w:val="Compact"/>
        <w:numPr>
          <w:ilvl w:val="0"/>
          <w:numId w:val="1013"/>
        </w:numPr>
      </w:pPr>
      <w:r>
        <w:t xml:space="preserve">Does management remain comfortable with 12%–15% long-term adjusted EPS growth?</w:t>
      </w:r>
    </w:p>
    <w:bookmarkEnd w:id="28"/>
    <w:bookmarkStart w:id="29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Ameriprise should report another quarter of strong double-digit adjusted EPS growth, supported by higher asset levels, fee-day benefits, expense discipline and buybacks. The more important issue is not whether EPS exceeds a roughly $10.7 consensus—it is whether management can demonstrate that the core wealth franchise is organically healthy beneath the temporary Comerica outflows.</w:t>
      </w:r>
    </w:p>
    <w:p>
      <w:pPr>
        <w:pStyle w:val="BodyText"/>
      </w:pPr>
      <w:r>
        <w:t xml:space="preserve">Given the stock’s sharp post-Q1 rally, the best outcome would combine a clean EPS beat with transparent flow disclosure and continued confidence in margins and capital return. A headline beat driven mainly by markets and share repurchases, without evidence of healthy core flows, would likely receive a less enthusiastic reaction.</w:t>
      </w:r>
    </w:p>
    <w:bookmarkEnd w:id="29"/>
    <w:bookmarkEnd w:id="3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ir.ameriprise.com/news/news-details/2026/Ameriprise-Financial-Announces-Schedule-for-Second-Quarter-2026-Investor-Conference-Call/default.aspx" TargetMode="External" /><Relationship Type="http://schemas.openxmlformats.org/officeDocument/2006/relationships/hyperlink" Id="rId13" Target="https://ir.ameriprise.com/news/news-details/2026/Ameriprise-Financial-Reports-First-Quarter-2026-Results/default.aspx?utm_source=openai" TargetMode="External" /><Relationship Type="http://schemas.openxmlformats.org/officeDocument/2006/relationships/hyperlink" Id="rId15" Target="https://s205.q4cdn.com/618704162/files/doc_news/2026/05/Ameriprise-Financial-Provides-an-Update-on-Q2-2026-Considerations.pdf" TargetMode="External" /><Relationship Type="http://schemas.openxmlformats.org/officeDocument/2006/relationships/hyperlink" Id="rId11" Target="https://www.barchart.com/stocks/quotes/AMP/earnings-estimat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ir.ameriprise.com/news/news-details/2026/Ameriprise-Financial-Announces-Schedule-for-Second-Quarter-2026-Investor-Conference-Call/default.aspx" TargetMode="External" /><Relationship Type="http://schemas.openxmlformats.org/officeDocument/2006/relationships/hyperlink" Id="rId13" Target="https://ir.ameriprise.com/news/news-details/2026/Ameriprise-Financial-Reports-First-Quarter-2026-Results/default.aspx?utm_source=openai" TargetMode="External" /><Relationship Type="http://schemas.openxmlformats.org/officeDocument/2006/relationships/hyperlink" Id="rId15" Target="https://s205.q4cdn.com/618704162/files/doc_news/2026/05/Ameriprise-Financial-Provides-an-Update-on-Q2-2026-Considerations.pdf" TargetMode="External" /><Relationship Type="http://schemas.openxmlformats.org/officeDocument/2006/relationships/hyperlink" Id="rId11" Target="https://www.barchart.com/stocks/quotes/AMP/earnings-estimat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2026-07-23T00:26:58Z</dcterms:created>
  <dcterms:modified xsi:type="dcterms:W3CDTF">2026-07-23T00:26:58Z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