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bro-earnings-predictions--2026-07-27"/>
    <w:p>
      <w:pPr>
        <w:pStyle w:val="Heading1"/>
      </w:pPr>
      <w:r>
        <w:t xml:space="preserve">BRO Earnings Predictions — 2026-07-27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BRO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~$1.78 vs. cons $1.82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BRO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~$1.70B vs. cons $1.72B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BRO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Organic revenue growth excluding contingents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~-0.5% vs. cons 0.5%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BRO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contingent-commission outlook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~$285M vs. cons $280M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BRO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Second-half organic-growth trajectory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~1.8% vs. cons 2.2% (2H 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BRO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Accession EBITDA synergy delivery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~$35M vs. cons $35M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BRO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-4.0%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BRO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-6.5% (FOLLOW-THROUGH)</w:t>
            </w:r>
          </w:p>
        </w:tc>
        <w:tc>
          <w:tcPr/>
          <w:p>
            <w:pPr>
              <w:pStyle w:val="Compact"/>
            </w:pPr>
            <w:r>
              <w:t xml:space="preserve">Underlying organic growth and margin performance imply FY2026/FY2027 EPS revisions of roughly -3.0% versus a pre-report revision baseline of 0.0%, outweighing a modest contingent-commission outlook lift.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2026-07-27T00:10:14Z</dcterms:created>
  <dcterms:modified xsi:type="dcterms:W3CDTF">2026-07-27T00:10:14Z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