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bx-earnings-predictions--2026-07-23"/>
    <w:p>
      <w:pPr>
        <w:pStyle w:val="Heading1"/>
      </w:pPr>
      <w:r>
        <w:t xml:space="preserve">BX Earnings Predictions — 2026-07-23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Distributable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~$1.36 vs. cons $1.32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Realized Performance Revenues + Realized Principal Investment Income (Q2 2026)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~$700M vs. cons $746M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Fundraising / Inflows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~$58B vs. cons $54B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Base Management Fee reacceleration guidance (H2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~+9% YoY growth vs. cons ~+6% YoY growth (H2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BCRED / wealth-channel net flow trajectory (Q2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~-</w:t>
            </w:r>
            <m:oMath>
              <m:r>
                <m:t>0.6</m:t>
              </m:r>
              <m:r>
                <m:t>B</m:t>
              </m:r>
              <m:r>
                <m:t>n</m:t>
              </m:r>
              <m:r>
                <m:t>e</m:t>
              </m:r>
              <m:r>
                <m:t>t</m:t>
              </m:r>
              <m:r>
                <m:t>o</m:t>
              </m:r>
              <m:r>
                <m:t>u</m:t>
              </m:r>
              <m:r>
                <m:t>t</m:t>
              </m:r>
              <m:r>
                <m:t>f</m:t>
              </m:r>
              <m:r>
                <m:t>l</m:t>
              </m:r>
              <m:r>
                <m:t>o</m:t>
              </m:r>
              <m:r>
                <m:t>w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  <m:r>
                <m:rPr>
                  <m:sty m:val="p"/>
                </m:rPr>
                <m:t>−</m:t>
              </m:r>
            </m:oMath>
            <w:r>
              <w:t xml:space="preserve">1.2B net outflow (Q2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Quarterly dividend per share declared with results (Q2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1.18</m:t>
              </m:r>
              <m:r>
                <m:rPr>
                  <m:sty m:val="p"/>
                </m:rPr>
                <m:t>/</m:t>
              </m:r>
              <m:r>
                <m:t>s</m:t>
              </m:r>
              <m:r>
                <m:t>h</m:t>
              </m:r>
              <m:r>
                <m:t>a</m:t>
              </m:r>
              <m:r>
                <m:t>r</m:t>
              </m:r>
              <m:r>
                <m:t>e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1.14/share (Q2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BX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-4.5% (FOLLOW-THROUGH)</w:t>
            </w:r>
          </w:p>
        </w:tc>
        <w:tc>
          <w:tcPr/>
          <w:p>
            <w:pPr>
              <w:pStyle w:val="Compact"/>
            </w:pPr>
            <w:r>
              <w:t xml:space="preserve">BX's last two reports (Q4'25 and Q1'26) both showed decent headline beats yet negative idiosyncratic drift that intensified over the following days (residuals of roughly -2.4% day-1 widening to -6.75% and -5.2% widening to -7.6% by day+5), driven by sell-side pushing out the timeline for Credit/Real Estate fee-AUM troughing and BCRED wealth-channel redemption overhangs even as headline DE beat. With the realization revenue swing-factor likely landing below the analyst-modeled $746M full-quarter run-rate (despite the reassuring pre-announcement), and consensus already trimmed into the print, any incremental commentary suggesting further-out H2 fee reacceleration or real assets softness lingers should trigger similar out-period estimate cuts, pulling the stock lower through the week even if day-1 reaction is only modestly negative.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2026-07-23T00:37:51Z</dcterms:created>
  <dcterms:modified xsi:type="dcterms:W3CDTF">2026-07-23T00:37:51Z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