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3" w:name="chubb-nyse-cb--2q26-earnings-preview"/>
    <w:p>
      <w:pPr>
        <w:pStyle w:val="Heading1"/>
      </w:pPr>
      <w:r>
        <w:t xml:space="preserve">Chubb (NYSE: CB) — 2Q26 Earnings Preview</w:t>
      </w:r>
    </w:p>
    <w:p>
      <w:pPr>
        <w:pStyle w:val="BlockText"/>
      </w:pPr>
      <w:r>
        <w:rPr>
          <w:b/>
          <w:bCs/>
        </w:rPr>
        <w:t xml:space="preserve">Timing note:</w:t>
      </w:r>
      <w:r>
        <w:t xml:space="preserve"> </w:t>
      </w:r>
      <w:r>
        <w:t xml:space="preserve">Today is</w:t>
      </w:r>
      <w:r>
        <w:t xml:space="preserve"> </w:t>
      </w:r>
      <w:r>
        <w:rPr>
          <w:b/>
          <w:bCs/>
        </w:rPr>
        <w:t xml:space="preserve">Tuesday, July 21, 2026</w:t>
      </w:r>
      <w:r>
        <w:t xml:space="preserve">. CB is scheduled to report 2Q26 results</w:t>
      </w:r>
      <w:r>
        <w:t xml:space="preserve"> </w:t>
      </w:r>
      <w:r>
        <w:rPr>
          <w:b/>
          <w:bCs/>
        </w:rPr>
        <w:t xml:space="preserve">after the U.S. market close today</w:t>
      </w:r>
      <w:r>
        <w:t xml:space="preserve">, rather than tomorrow. The earnings call is expected to follow on Wednesday morning.</w:t>
      </w:r>
    </w:p>
    <w:bookmarkStart w:id="9" w:name="bottom-line"/>
    <w:p>
      <w:pPr>
        <w:pStyle w:val="Heading2"/>
      </w:pPr>
      <w:r>
        <w:t xml:space="preserve">Bottom line</w:t>
      </w:r>
    </w:p>
    <w:p>
      <w:pPr>
        <w:pStyle w:val="FirstParagraph"/>
      </w:pPr>
      <w:r>
        <w:t xml:space="preserve">Chubb enters 2Q26 with the core earnings setup still favorable: strong underlying underwriting margins, continued investment-income expansion, resilient personal/international growth, and meaningful capital return. The central debate is no longer whether Chubb can grow earnings; it is whether it can preserve superior underwriting economics while deliberately giving up inadequately priced large-account property business.</w:t>
      </w:r>
    </w:p>
    <w:p>
      <w:pPr>
        <w:pStyle w:val="BodyText"/>
      </w:pPr>
      <w:r>
        <w:t xml:space="preserve">The Street is looking for approximately:</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2Q26 consensus</w:t>
            </w:r>
          </w:p>
        </w:tc>
        <w:tc>
          <w:tcPr/>
          <w:p>
            <w:pPr>
              <w:pStyle w:val="Compact"/>
              <w:jc w:val="right"/>
            </w:pPr>
            <w:r>
              <w:t xml:space="preserve">Estimate</w:t>
            </w:r>
          </w:p>
        </w:tc>
        <w:tc>
          <w:tcPr/>
          <w:p>
            <w:pPr>
              <w:pStyle w:val="Compact"/>
              <w:jc w:val="right"/>
            </w:pPr>
            <w:r>
              <w:t xml:space="preserve">2Q25 actual</w:t>
            </w:r>
          </w:p>
        </w:tc>
        <w:tc>
          <w:tcPr/>
          <w:p>
            <w:pPr>
              <w:pStyle w:val="Compact"/>
              <w:jc w:val="right"/>
            </w:pPr>
            <w:r>
              <w:t xml:space="preserve">YoY change</w:t>
            </w:r>
          </w:p>
        </w:tc>
      </w:tr>
      <w:tr>
        <w:tc>
          <w:tcPr/>
          <w:p>
            <w:pPr>
              <w:pStyle w:val="Compact"/>
            </w:pPr>
            <w:r>
              <w:t xml:space="preserve">Core operating EPS</w:t>
            </w:r>
          </w:p>
        </w:tc>
        <w:tc>
          <w:tcPr/>
          <w:p>
            <w:pPr>
              <w:pStyle w:val="Compact"/>
              <w:jc w:val="right"/>
            </w:pPr>
            <w:r>
              <w:rPr>
                <w:b/>
                <w:bCs/>
              </w:rPr>
              <w:t xml:space="preserve">$6.72</w:t>
            </w:r>
          </w:p>
        </w:tc>
        <w:tc>
          <w:tcPr/>
          <w:p>
            <w:pPr>
              <w:pStyle w:val="Compact"/>
              <w:jc w:val="right"/>
            </w:pPr>
            <w:r>
              <w:t xml:space="preserve">$6.14</w:t>
            </w:r>
          </w:p>
        </w:tc>
        <w:tc>
          <w:tcPr/>
          <w:p>
            <w:pPr>
              <w:pStyle w:val="Compact"/>
              <w:jc w:val="right"/>
            </w:pPr>
            <w:r>
              <w:rPr>
                <w:b/>
                <w:bCs/>
              </w:rPr>
              <w:t xml:space="preserve">+9%</w:t>
            </w:r>
          </w:p>
        </w:tc>
      </w:tr>
      <w:tr>
        <w:tc>
          <w:tcPr/>
          <w:p>
            <w:pPr>
              <w:pStyle w:val="Compact"/>
            </w:pPr>
            <w:r>
              <w:t xml:space="preserve">Net premiums written</w:t>
            </w:r>
          </w:p>
        </w:tc>
        <w:tc>
          <w:tcPr/>
          <w:p>
            <w:pPr>
              <w:pStyle w:val="Compact"/>
              <w:jc w:val="right"/>
            </w:pPr>
            <w:r>
              <w:rPr>
                <w:b/>
                <w:bCs/>
              </w:rPr>
              <w:t xml:space="preserve">$15.0B</w:t>
            </w:r>
          </w:p>
        </w:tc>
        <w:tc>
          <w:tcPr/>
          <w:p>
            <w:pPr>
              <w:pStyle w:val="Compact"/>
              <w:jc w:val="right"/>
            </w:pPr>
            <w:r>
              <w:t xml:space="preserve">$14.2B</w:t>
            </w:r>
          </w:p>
        </w:tc>
        <w:tc>
          <w:tcPr/>
          <w:p>
            <w:pPr>
              <w:pStyle w:val="Compact"/>
              <w:jc w:val="right"/>
            </w:pPr>
            <w:r>
              <w:rPr>
                <w:b/>
                <w:bCs/>
              </w:rPr>
              <w:t xml:space="preserve">+5.5%</w:t>
            </w:r>
          </w:p>
        </w:tc>
      </w:tr>
      <w:tr>
        <w:tc>
          <w:tcPr/>
          <w:p>
            <w:pPr>
              <w:pStyle w:val="Compact"/>
            </w:pPr>
            <w:r>
              <w:t xml:space="preserve">P&amp;C combined ratio</w:t>
            </w:r>
          </w:p>
        </w:tc>
        <w:tc>
          <w:tcPr/>
          <w:p>
            <w:pPr>
              <w:pStyle w:val="Compact"/>
              <w:jc w:val="right"/>
            </w:pPr>
            <w:r>
              <w:rPr>
                <w:b/>
                <w:bCs/>
              </w:rPr>
              <w:t xml:space="preserve">85.9%</w:t>
            </w:r>
          </w:p>
        </w:tc>
        <w:tc>
          <w:tcPr/>
          <w:p>
            <w:pPr>
              <w:pStyle w:val="Compact"/>
              <w:jc w:val="right"/>
            </w:pPr>
            <w:r>
              <w:t xml:space="preserve">85.6%</w:t>
            </w:r>
          </w:p>
        </w:tc>
        <w:tc>
          <w:tcPr/>
          <w:p>
            <w:pPr>
              <w:pStyle w:val="Compact"/>
              <w:jc w:val="right"/>
            </w:pPr>
            <w:r>
              <w:rPr>
                <w:b/>
                <w:bCs/>
              </w:rPr>
              <w:t xml:space="preserve">+30 bps</w:t>
            </w:r>
          </w:p>
        </w:tc>
      </w:tr>
      <w:tr>
        <w:tc>
          <w:tcPr/>
          <w:p>
            <w:pPr>
              <w:pStyle w:val="Compact"/>
            </w:pPr>
            <w:r>
              <w:t xml:space="preserve">Underlying combined ratio*</w:t>
            </w:r>
          </w:p>
        </w:tc>
        <w:tc>
          <w:tcPr/>
          <w:p>
            <w:pPr>
              <w:pStyle w:val="Compact"/>
              <w:jc w:val="right"/>
            </w:pPr>
            <w:r>
              <w:rPr>
                <w:b/>
                <w:bCs/>
              </w:rPr>
              <w:t xml:space="preserve">82.6%</w:t>
            </w:r>
          </w:p>
        </w:tc>
        <w:tc>
          <w:tcPr/>
          <w:p>
            <w:pPr>
              <w:pStyle w:val="Compact"/>
              <w:jc w:val="right"/>
            </w:pPr>
            <w:r>
              <w:t xml:space="preserve">82.3%</w:t>
            </w:r>
          </w:p>
        </w:tc>
        <w:tc>
          <w:tcPr/>
          <w:p>
            <w:pPr>
              <w:pStyle w:val="Compact"/>
              <w:jc w:val="right"/>
            </w:pPr>
            <w:r>
              <w:rPr>
                <w:b/>
                <w:bCs/>
              </w:rPr>
              <w:t xml:space="preserve">+30 bps</w:t>
            </w:r>
          </w:p>
        </w:tc>
      </w:tr>
    </w:tbl>
    <w:p>
      <w:pPr>
        <w:pStyle w:val="BodyText"/>
      </w:pPr>
      <w:r>
        <w:t xml:space="preserve">*Current accident year, excluding catastrophe losses and prior-period development.</w:t>
      </w:r>
    </w:p>
    <w:p>
      <w:pPr>
        <w:pStyle w:val="BodyText"/>
      </w:pPr>
      <w:r>
        <w:t xml:space="preserve">That setup implies investors will focus less on the headline EPS beat/miss—which can be affected by catastrophe losses and investment marks—and more on the quality of premium growth, underlying combined ratio, reserve development, and management’s view of the property-pricing cycle.</w:t>
      </w:r>
    </w:p>
    <w:bookmarkEnd w:id="9"/>
    <w:bookmarkStart w:id="11" w:name="why-the-quarter-matters"/>
    <w:p>
      <w:pPr>
        <w:pStyle w:val="Heading2"/>
      </w:pPr>
      <w:r>
        <w:t xml:space="preserve">Why the quarter matters</w:t>
      </w:r>
    </w:p>
    <w:bookmarkStart w:id="10" w:name="Xadfcad029aac7d0ba65ebce6be7781a4a0d0349"/>
    <w:p>
      <w:pPr>
        <w:pStyle w:val="Heading3"/>
      </w:pPr>
      <w:r>
        <w:t xml:space="preserve">1. The market is asking CB to prove that disciplined shrinkage is the right trade-off</w:t>
      </w:r>
    </w:p>
    <w:p>
      <w:pPr>
        <w:pStyle w:val="FirstParagraph"/>
      </w:pPr>
      <w:r>
        <w:t xml:space="preserve">Management’s message in 1Q was unusually direct: large-account and E&amp;S shared-and-layered property pricing had become uneconomic. Chubb responded by non-renewing a substantial portion of business, purchasing more reinsurance, and accepting lower reported premium growth rather than chasing volume.</w:t>
      </w:r>
    </w:p>
    <w:p>
      <w:pPr>
        <w:pStyle w:val="BodyText"/>
      </w:pPr>
      <w:r>
        <w:t xml:space="preserve">The effect was already apparent in 1Q:</w:t>
      </w:r>
    </w:p>
    <w:p>
      <w:pPr>
        <w:pStyle w:val="Compact"/>
        <w:numPr>
          <w:ilvl w:val="0"/>
          <w:numId w:val="1001"/>
        </w:numPr>
      </w:pPr>
      <w:r>
        <w:t xml:space="preserve">North America Commercial NPW grew only</w:t>
      </w:r>
      <w:r>
        <w:t xml:space="preserve"> </w:t>
      </w:r>
      <w:r>
        <w:rPr>
          <w:b/>
          <w:bCs/>
        </w:rPr>
        <w:t xml:space="preserve">2.3%</w:t>
      </w:r>
      <w:r>
        <w:t xml:space="preserve">.</w:t>
      </w:r>
    </w:p>
    <w:p>
      <w:pPr>
        <w:pStyle w:val="Compact"/>
        <w:numPr>
          <w:ilvl w:val="0"/>
          <w:numId w:val="1001"/>
        </w:numPr>
      </w:pPr>
      <w:r>
        <w:t xml:space="preserve">But growth was</w:t>
      </w:r>
      <w:r>
        <w:t xml:space="preserve"> </w:t>
      </w:r>
      <w:r>
        <w:rPr>
          <w:b/>
          <w:bCs/>
        </w:rPr>
        <w:t xml:space="preserve">7.3% excluding large-account property</w:t>
      </w:r>
      <w:r>
        <w:t xml:space="preserve">, admitted and E&amp;S.</w:t>
      </w:r>
    </w:p>
    <w:p>
      <w:pPr>
        <w:pStyle w:val="Compact"/>
        <w:numPr>
          <w:ilvl w:val="0"/>
          <w:numId w:val="1001"/>
        </w:numPr>
      </w:pPr>
      <w:r>
        <w:t xml:space="preserve">Large-account property NPW declined</w:t>
      </w:r>
      <w:r>
        <w:t xml:space="preserve"> </w:t>
      </w:r>
      <w:r>
        <w:rPr>
          <w:b/>
          <w:bCs/>
        </w:rPr>
        <w:t xml:space="preserve">55%</w:t>
      </w:r>
      <w:r>
        <w:t xml:space="preserve">.</w:t>
      </w:r>
    </w:p>
    <w:p>
      <w:pPr>
        <w:pStyle w:val="Compact"/>
        <w:numPr>
          <w:ilvl w:val="0"/>
          <w:numId w:val="1001"/>
        </w:numPr>
      </w:pPr>
      <w:r>
        <w:t xml:space="preserve">North America Commercial’s underlying combined ratio rose modestly to</w:t>
      </w:r>
      <w:r>
        <w:t xml:space="preserve"> </w:t>
      </w:r>
      <w:r>
        <w:rPr>
          <w:b/>
          <w:bCs/>
        </w:rPr>
        <w:t xml:space="preserve">81.8%</w:t>
      </w:r>
      <w:r>
        <w:t xml:space="preserve"> </w:t>
      </w:r>
      <w:r>
        <w:t xml:space="preserve">from</w:t>
      </w:r>
      <w:r>
        <w:t xml:space="preserve"> </w:t>
      </w:r>
      <w:r>
        <w:rPr>
          <w:b/>
          <w:bCs/>
        </w:rPr>
        <w:t xml:space="preserve">81.3%</w:t>
      </w:r>
      <w:r>
        <w:t xml:space="preserve">, largely reflecting a business-mix shift away from property.</w:t>
      </w:r>
    </w:p>
    <w:p>
      <w:pPr>
        <w:pStyle w:val="FirstParagraph"/>
      </w:pPr>
      <w:r>
        <w:t xml:space="preserve">This is the key analytical issue for 2Q:</w:t>
      </w:r>
      <w:r>
        <w:t xml:space="preserve"> </w:t>
      </w:r>
      <w:r>
        <w:rPr>
          <w:b/>
          <w:bCs/>
        </w:rPr>
        <w:t xml:space="preserve">does the deliberate property pullback remain contained to the least attractive business, while casualty, middle market, small commercial, personal lines, and international operations sustain profitable growth?</w:t>
      </w:r>
    </w:p>
    <w:p>
      <w:pPr>
        <w:pStyle w:val="BodyText"/>
      </w:pPr>
      <w:r>
        <w:t xml:space="preserve">A modestly soft reported premium-growth result should not necessarily be viewed negatively if it is accompanied by stable-to-improving underwriting margins and evidence that Chubb is redeploying capacity into better-return opportunities.</w:t>
      </w:r>
    </w:p>
    <w:bookmarkEnd w:id="10"/>
    <w:bookmarkEnd w:id="11"/>
    <w:bookmarkStart w:id="18" w:name="what-investors-should-watch"/>
    <w:p>
      <w:pPr>
        <w:pStyle w:val="Heading2"/>
      </w:pPr>
      <w:r>
        <w:t xml:space="preserve">What investors should watch</w:t>
      </w:r>
    </w:p>
    <w:bookmarkStart w:id="12" w:name="Xf10020ca99a96be55812b2f77e2e0129197f653"/>
    <w:p>
      <w:pPr>
        <w:pStyle w:val="Heading3"/>
      </w:pPr>
      <w:r>
        <w:t xml:space="preserve">1. Underlying combined ratio: the most important operating metric</w:t>
      </w:r>
    </w:p>
    <w:p>
      <w:pPr>
        <w:pStyle w:val="FirstParagraph"/>
      </w:pPr>
      <w:r>
        <w:t xml:space="preserve">Consensus calls for an</w:t>
      </w:r>
      <w:r>
        <w:t xml:space="preserve"> </w:t>
      </w:r>
      <w:r>
        <w:rPr>
          <w:b/>
          <w:bCs/>
        </w:rPr>
        <w:t xml:space="preserve">82.6% underlying P&amp;C combined ratio</w:t>
      </w:r>
      <w:r>
        <w:t xml:space="preserve">, 30 bps weaker than the</w:t>
      </w:r>
      <w:r>
        <w:t xml:space="preserve"> </w:t>
      </w:r>
      <w:r>
        <w:rPr>
          <w:b/>
          <w:bCs/>
        </w:rPr>
        <w:t xml:space="preserve">82.3%</w:t>
      </w:r>
      <w:r>
        <w:t xml:space="preserve"> </w:t>
      </w:r>
      <w:r>
        <w:t xml:space="preserve">posted in 2Q25. That is still an excellent level, but the direction matters.</w:t>
      </w:r>
    </w:p>
    <w:p>
      <w:pPr>
        <w:pStyle w:val="BodyText"/>
      </w:pPr>
      <w:r>
        <w:t xml:space="preserve">The key questions are:</w:t>
      </w:r>
    </w:p>
    <w:p>
      <w:pPr>
        <w:pStyle w:val="Compact"/>
        <w:numPr>
          <w:ilvl w:val="0"/>
          <w:numId w:val="1002"/>
        </w:numPr>
      </w:pPr>
      <w:r>
        <w:t xml:space="preserve">Can Chubb hold the overall underlying ratio around the low-82% range despite a less favorable property mix?</w:t>
      </w:r>
    </w:p>
    <w:p>
      <w:pPr>
        <w:pStyle w:val="Compact"/>
        <w:numPr>
          <w:ilvl w:val="0"/>
          <w:numId w:val="1002"/>
        </w:numPr>
      </w:pPr>
      <w:r>
        <w:t xml:space="preserve">Does North America Commercial deteriorate beyond the expected mix-related pressure?</w:t>
      </w:r>
    </w:p>
    <w:p>
      <w:pPr>
        <w:pStyle w:val="Compact"/>
        <w:numPr>
          <w:ilvl w:val="0"/>
          <w:numId w:val="1002"/>
        </w:numPr>
      </w:pPr>
      <w:r>
        <w:t xml:space="preserve">Can North America Personal remain exceptionally profitable after posting a</w:t>
      </w:r>
      <w:r>
        <w:t xml:space="preserve"> </w:t>
      </w:r>
      <w:r>
        <w:rPr>
          <w:b/>
          <w:bCs/>
        </w:rPr>
        <w:t xml:space="preserve">71.3%</w:t>
      </w:r>
      <w:r>
        <w:t xml:space="preserve"> </w:t>
      </w:r>
      <w:r>
        <w:t xml:space="preserve">underlying ratio in 1Q?</w:t>
      </w:r>
    </w:p>
    <w:p>
      <w:pPr>
        <w:pStyle w:val="Compact"/>
        <w:numPr>
          <w:ilvl w:val="0"/>
          <w:numId w:val="1002"/>
        </w:numPr>
      </w:pPr>
      <w:r>
        <w:t xml:space="preserve">Does Overseas General sustain its roughly mid-80s underlying combined ratio while continuing to grow?</w:t>
      </w:r>
    </w:p>
    <w:p>
      <w:pPr>
        <w:pStyle w:val="FirstParagraph"/>
      </w:pPr>
      <w:r>
        <w:t xml:space="preserve">A sub-83% underlying ratio, with credible explanations for any mix effects, would reinforce the case that Chubb’s underwriting franchise remains differentiated even as pricing softens in selected lines.</w:t>
      </w:r>
    </w:p>
    <w:bookmarkEnd w:id="12"/>
    <w:bookmarkStart w:id="13" w:name="X2836a346a89e98f6509ca4e16440875f8402518"/>
    <w:p>
      <w:pPr>
        <w:pStyle w:val="Heading3"/>
      </w:pPr>
      <w:r>
        <w:t xml:space="preserve">2. Pricing, exposure, and retention—especially in large-account property</w:t>
      </w:r>
    </w:p>
    <w:p>
      <w:pPr>
        <w:pStyle w:val="FirstParagraph"/>
      </w:pPr>
      <w:r>
        <w:t xml:space="preserve">Management described shared-and-layered property-market price reductions of roughly</w:t>
      </w:r>
      <w:r>
        <w:t xml:space="preserve"> </w:t>
      </w:r>
      <w:r>
        <w:rPr>
          <w:b/>
          <w:bCs/>
        </w:rPr>
        <w:t xml:space="preserve">25% in 1Q</w:t>
      </w:r>
      <w:r>
        <w:t xml:space="preserve">, accelerating toward 30%, while loss-cost trends remained positive. That is precisely the combination that leads a disciplined carrier to walk away.</w:t>
      </w:r>
    </w:p>
    <w:p>
      <w:pPr>
        <w:pStyle w:val="BodyText"/>
      </w:pPr>
      <w:r>
        <w:t xml:space="preserve">Investors should listen for updated commentary on:</w:t>
      </w:r>
    </w:p>
    <w:p>
      <w:pPr>
        <w:pStyle w:val="Compact"/>
        <w:numPr>
          <w:ilvl w:val="0"/>
          <w:numId w:val="1003"/>
        </w:numPr>
      </w:pPr>
      <w:r>
        <w:t xml:space="preserve">The pace of price declines in U.S. large-account and E&amp;S property.</w:t>
      </w:r>
    </w:p>
    <w:p>
      <w:pPr>
        <w:pStyle w:val="Compact"/>
        <w:numPr>
          <w:ilvl w:val="0"/>
          <w:numId w:val="1003"/>
        </w:numPr>
      </w:pPr>
      <w:r>
        <w:t xml:space="preserve">Whether terms and conditions are weakening beyond the “marginal” deterioration described in 1Q.</w:t>
      </w:r>
    </w:p>
    <w:p>
      <w:pPr>
        <w:pStyle w:val="Compact"/>
        <w:numPr>
          <w:ilvl w:val="0"/>
          <w:numId w:val="1003"/>
        </w:numPr>
      </w:pPr>
      <w:r>
        <w:t xml:space="preserve">The level of property premium being deliberately non-renewed or ceded through reinsurance.</w:t>
      </w:r>
    </w:p>
    <w:p>
      <w:pPr>
        <w:pStyle w:val="Compact"/>
        <w:numPr>
          <w:ilvl w:val="0"/>
          <w:numId w:val="1003"/>
        </w:numPr>
      </w:pPr>
      <w:r>
        <w:t xml:space="preserve">Whether competitive behavior is spreading from large-account property into middle market, small commercial, casualty, or admitted markets.</w:t>
      </w:r>
    </w:p>
    <w:p>
      <w:pPr>
        <w:pStyle w:val="Compact"/>
        <w:numPr>
          <w:ilvl w:val="0"/>
          <w:numId w:val="1003"/>
        </w:numPr>
      </w:pPr>
      <w:r>
        <w:t xml:space="preserve">Whether casualty pricing remains above loss-cost trends.</w:t>
      </w:r>
    </w:p>
    <w:p>
      <w:pPr>
        <w:pStyle w:val="FirstParagraph"/>
      </w:pPr>
      <w:r>
        <w:t xml:space="preserve">The ideal read-through is:</w:t>
      </w:r>
      <w:r>
        <w:t xml:space="preserve"> </w:t>
      </w:r>
      <w:r>
        <w:rPr>
          <w:b/>
          <w:bCs/>
        </w:rPr>
        <w:t xml:space="preserve">property remains irrational, Chubb remains selective, and casualty/middle-market/small-commercial conditions remain adequate enough to support profitable growth.</w:t>
      </w:r>
    </w:p>
    <w:bookmarkEnd w:id="13"/>
    <w:bookmarkStart w:id="14" w:name="Xff28af2eca11744d35549fecb4ef9e1d4165c6a"/>
    <w:p>
      <w:pPr>
        <w:pStyle w:val="Heading3"/>
      </w:pPr>
      <w:r>
        <w:t xml:space="preserve">3. Net premium growth quality—not just the headline number</w:t>
      </w:r>
    </w:p>
    <w:p>
      <w:pPr>
        <w:pStyle w:val="FirstParagraph"/>
      </w:pPr>
      <w:r>
        <w:t xml:space="preserve">The expected</w:t>
      </w:r>
      <w:r>
        <w:t xml:space="preserve"> </w:t>
      </w:r>
      <w:r>
        <w:rPr>
          <w:b/>
          <w:bCs/>
        </w:rPr>
        <w:t xml:space="preserve">5.5%</w:t>
      </w:r>
      <w:r>
        <w:t xml:space="preserve"> </w:t>
      </w:r>
      <w:r>
        <w:t xml:space="preserve">NPW growth rate is broadly consistent with a more mature part of the P&amp;C cycle. But composition should matter much more than the aggregate figure.</w:t>
      </w:r>
    </w:p>
    <w:p>
      <w:pPr>
        <w:pStyle w:val="BodyText"/>
      </w:pPr>
      <w:r>
        <w:t xml:space="preserve">Positive signposts would include:</w:t>
      </w:r>
    </w:p>
    <w:p>
      <w:pPr>
        <w:pStyle w:val="Compact"/>
        <w:numPr>
          <w:ilvl w:val="0"/>
          <w:numId w:val="1004"/>
        </w:numPr>
      </w:pPr>
      <w:r>
        <w:t xml:space="preserve">Continued solid growth in North America Personal, where 1Q NPW rose</w:t>
      </w:r>
      <w:r>
        <w:t xml:space="preserve"> </w:t>
      </w:r>
      <w:r>
        <w:rPr>
          <w:b/>
          <w:bCs/>
        </w:rPr>
        <w:t xml:space="preserve">8.3%</w:t>
      </w:r>
      <w:r>
        <w:t xml:space="preserve"> </w:t>
      </w:r>
      <w:r>
        <w:t xml:space="preserve">and underlying profitability improved materially.</w:t>
      </w:r>
    </w:p>
    <w:p>
      <w:pPr>
        <w:pStyle w:val="Compact"/>
        <w:numPr>
          <w:ilvl w:val="0"/>
          <w:numId w:val="1004"/>
        </w:numPr>
      </w:pPr>
      <w:r>
        <w:t xml:space="preserve">Mid-single-digit or better growth in North America middle market and small commercial.</w:t>
      </w:r>
    </w:p>
    <w:p>
      <w:pPr>
        <w:pStyle w:val="Compact"/>
        <w:numPr>
          <w:ilvl w:val="0"/>
          <w:numId w:val="1004"/>
        </w:numPr>
      </w:pPr>
      <w:r>
        <w:t xml:space="preserve">Sustained international growth on a</w:t>
      </w:r>
      <w:r>
        <w:t xml:space="preserve"> </w:t>
      </w:r>
      <w:r>
        <w:rPr>
          <w:b/>
          <w:bCs/>
        </w:rPr>
        <w:t xml:space="preserve">constant-currency</w:t>
      </w:r>
      <w:r>
        <w:t xml:space="preserve"> </w:t>
      </w:r>
      <w:r>
        <w:t xml:space="preserve">basis.</w:t>
      </w:r>
    </w:p>
    <w:p>
      <w:pPr>
        <w:pStyle w:val="Compact"/>
        <w:numPr>
          <w:ilvl w:val="0"/>
          <w:numId w:val="1004"/>
        </w:numPr>
      </w:pPr>
      <w:r>
        <w:t xml:space="preserve">Strong consumer insurance and accident-and-health trends internationally.</w:t>
      </w:r>
    </w:p>
    <w:p>
      <w:pPr>
        <w:pStyle w:val="Compact"/>
        <w:numPr>
          <w:ilvl w:val="0"/>
          <w:numId w:val="1004"/>
        </w:numPr>
      </w:pPr>
      <w:r>
        <w:t xml:space="preserve">Casualty growth that is rate-adequate rather than volume-led.</w:t>
      </w:r>
    </w:p>
    <w:p>
      <w:pPr>
        <w:pStyle w:val="FirstParagraph"/>
      </w:pPr>
      <w:r>
        <w:t xml:space="preserve">Potential concern: a sharp slowdown outside large-account property, particularly if it coincides with evidence that price competition is broadening across commercial P&amp;C.</w:t>
      </w:r>
    </w:p>
    <w:bookmarkEnd w:id="14"/>
    <w:bookmarkStart w:id="15" w:name="Xc3dd8aa5b980bef880d92b67e3b608b72d13df1"/>
    <w:p>
      <w:pPr>
        <w:pStyle w:val="Heading3"/>
      </w:pPr>
      <w:r>
        <w:t xml:space="preserve">4. Investment income should be a meaningful earnings tailwind</w:t>
      </w:r>
    </w:p>
    <w:p>
      <w:pPr>
        <w:pStyle w:val="FirstParagraph"/>
      </w:pPr>
      <w:r>
        <w:t xml:space="preserve">Chubb guided to</w:t>
      </w:r>
      <w:r>
        <w:t xml:space="preserve"> </w:t>
      </w:r>
      <w:r>
        <w:rPr>
          <w:b/>
          <w:bCs/>
        </w:rPr>
        <w:t xml:space="preserve">2Q adjusted net investment income of</w:t>
      </w:r>
      <w:r>
        <w:rPr>
          <w:b/>
          <w:bCs/>
        </w:rPr>
        <w:t xml:space="preserve"> </w:t>
      </w:r>
      <m:oMath>
        <m:r>
          <m:t>1.825</m:t>
        </m:r>
        <m:r>
          <m:rPr>
            <m:sty m:val="p"/>
          </m:rPr>
          <m:t>–</m:t>
        </m:r>
      </m:oMath>
      <w:r>
        <w:rPr>
          <w:b/>
          <w:bCs/>
        </w:rPr>
        <w:t xml:space="preserve">1.850 billion</w:t>
      </w:r>
      <w:r>
        <w:t xml:space="preserve">, compared with</w:t>
      </w:r>
      <w:r>
        <w:t xml:space="preserve"> </w:t>
      </w:r>
      <w:r>
        <w:rPr>
          <w:b/>
          <w:bCs/>
        </w:rPr>
        <w:t xml:space="preserve">$1.69 billion</w:t>
      </w:r>
      <w:r>
        <w:t xml:space="preserve"> </w:t>
      </w:r>
      <w:r>
        <w:t xml:space="preserve">in 2Q25. This is one of the cleanest supports for the 2Q earnings outlook.</w:t>
      </w:r>
    </w:p>
    <w:p>
      <w:pPr>
        <w:pStyle w:val="BodyText"/>
      </w:pPr>
      <w:r>
        <w:t xml:space="preserve">The favorable setup reflects:</w:t>
      </w:r>
    </w:p>
    <w:p>
      <w:pPr>
        <w:pStyle w:val="Compact"/>
        <w:numPr>
          <w:ilvl w:val="0"/>
          <w:numId w:val="1005"/>
        </w:numPr>
      </w:pPr>
      <w:r>
        <w:t xml:space="preserve">A larger invested-asset base—approximately</w:t>
      </w:r>
      <w:r>
        <w:t xml:space="preserve"> </w:t>
      </w:r>
      <w:r>
        <w:rPr>
          <w:b/>
          <w:bCs/>
        </w:rPr>
        <w:t xml:space="preserve">$170 billion</w:t>
      </w:r>
      <w:r>
        <w:t xml:space="preserve"> </w:t>
      </w:r>
      <w:r>
        <w:t xml:space="preserve">at the end of 1Q.</w:t>
      </w:r>
    </w:p>
    <w:p>
      <w:pPr>
        <w:pStyle w:val="Compact"/>
        <w:numPr>
          <w:ilvl w:val="0"/>
          <w:numId w:val="1005"/>
        </w:numPr>
      </w:pPr>
      <w:r>
        <w:t xml:space="preserve">A reported fixed-income portfolio yield of</w:t>
      </w:r>
      <w:r>
        <w:t xml:space="preserve"> </w:t>
      </w:r>
      <w:r>
        <w:rPr>
          <w:b/>
          <w:bCs/>
        </w:rPr>
        <w:t xml:space="preserve">5.1%</w:t>
      </w:r>
      <w:r>
        <w:t xml:space="preserve"> </w:t>
      </w:r>
      <w:r>
        <w:t xml:space="preserve">at March 31.</w:t>
      </w:r>
    </w:p>
    <w:p>
      <w:pPr>
        <w:pStyle w:val="Compact"/>
        <w:numPr>
          <w:ilvl w:val="0"/>
          <w:numId w:val="1005"/>
        </w:numPr>
      </w:pPr>
      <w:r>
        <w:t xml:space="preserve">A new-money rate around</w:t>
      </w:r>
      <w:r>
        <w:t xml:space="preserve"> </w:t>
      </w:r>
      <w:r>
        <w:rPr>
          <w:b/>
          <w:bCs/>
        </w:rPr>
        <w:t xml:space="preserve">5.5%</w:t>
      </w:r>
      <w:r>
        <w:t xml:space="preserve">.</w:t>
      </w:r>
    </w:p>
    <w:p>
      <w:pPr>
        <w:pStyle w:val="Compact"/>
        <w:numPr>
          <w:ilvl w:val="0"/>
          <w:numId w:val="1005"/>
        </w:numPr>
      </w:pPr>
      <w:r>
        <w:t xml:space="preserve">Continued operating cash flow available for reinvestment.</w:t>
      </w:r>
    </w:p>
    <w:p>
      <w:pPr>
        <w:pStyle w:val="FirstParagraph"/>
      </w:pPr>
      <w:r>
        <w:t xml:space="preserve">The important distinction is that investment income is becoming a structural contributor to earnings, rather than merely a cyclical offset to underwriting volatility. Watch whether reported adjusted NII lands within or above the guide and whether management updates its outlook for the second half.</w:t>
      </w:r>
    </w:p>
    <w:bookmarkEnd w:id="15"/>
    <w:bookmarkStart w:id="16" w:name="X18c4ce5c22019006e06f1592785a08d4921a1f5"/>
    <w:p>
      <w:pPr>
        <w:pStyle w:val="Heading3"/>
      </w:pPr>
      <w:r>
        <w:t xml:space="preserve">5. Catastrophe losses and reserve development will determine the headline result</w:t>
      </w:r>
    </w:p>
    <w:p>
      <w:pPr>
        <w:pStyle w:val="FirstParagraph"/>
      </w:pPr>
      <w:r>
        <w:t xml:space="preserve">Catastrophes are inherently difficult to forecast. In 2Q25, Chubb reported</w:t>
      </w:r>
      <w:r>
        <w:t xml:space="preserve"> </w:t>
      </w:r>
      <w:r>
        <w:rPr>
          <w:b/>
          <w:bCs/>
        </w:rPr>
        <w:t xml:space="preserve">$630 million</w:t>
      </w:r>
      <w:r>
        <w:t xml:space="preserve"> </w:t>
      </w:r>
      <w:r>
        <w:t xml:space="preserve">of pre-tax catastrophe losses, equivalent to</w:t>
      </w:r>
      <w:r>
        <w:t xml:space="preserve"> </w:t>
      </w:r>
      <w:r>
        <w:rPr>
          <w:b/>
          <w:bCs/>
        </w:rPr>
        <w:t xml:space="preserve">5.5 points</w:t>
      </w:r>
      <w:r>
        <w:t xml:space="preserve"> </w:t>
      </w:r>
      <w:r>
        <w:t xml:space="preserve">on the combined ratio. A similar or lower cat outcome would make it easier for CB to meet or exceed expectations, while elevated U.S. severe-convective-storm, wildfire, or international-weather losses could obscure otherwise strong operating performance.</w:t>
      </w:r>
    </w:p>
    <w:p>
      <w:pPr>
        <w:pStyle w:val="BodyText"/>
      </w:pPr>
      <w:r>
        <w:t xml:space="preserve">Prior-period development is equally important:</w:t>
      </w:r>
    </w:p>
    <w:p>
      <w:pPr>
        <w:pStyle w:val="Compact"/>
        <w:numPr>
          <w:ilvl w:val="0"/>
          <w:numId w:val="1006"/>
        </w:numPr>
      </w:pPr>
      <w:r>
        <w:t xml:space="preserve">1Q26 included</w:t>
      </w:r>
      <w:r>
        <w:t xml:space="preserve"> </w:t>
      </w:r>
      <w:r>
        <w:rPr>
          <w:b/>
          <w:bCs/>
        </w:rPr>
        <w:t xml:space="preserve">$286 million</w:t>
      </w:r>
      <w:r>
        <w:t xml:space="preserve"> </w:t>
      </w:r>
      <w:r>
        <w:t xml:space="preserve">of favorable development, predominantly from short-tail lines.</w:t>
      </w:r>
    </w:p>
    <w:p>
      <w:pPr>
        <w:pStyle w:val="Compact"/>
        <w:numPr>
          <w:ilvl w:val="0"/>
          <w:numId w:val="1006"/>
        </w:numPr>
      </w:pPr>
      <w:r>
        <w:t xml:space="preserve">That favorable development helped the reported combined ratio, but it does not change the underlying underwriting assessment.</w:t>
      </w:r>
    </w:p>
    <w:p>
      <w:pPr>
        <w:pStyle w:val="Compact"/>
        <w:numPr>
          <w:ilvl w:val="0"/>
          <w:numId w:val="1006"/>
        </w:numPr>
      </w:pPr>
      <w:r>
        <w:t xml:space="preserve">Investors should focus on whether long-tail casualty development remains manageable and whether favorable property/surety development continues.</w:t>
      </w:r>
    </w:p>
    <w:p>
      <w:pPr>
        <w:pStyle w:val="FirstParagraph"/>
      </w:pPr>
      <w:r>
        <w:t xml:space="preserve">A strong release would pair reasonable catastrophe losses with no material adverse casualty-reserve development.</w:t>
      </w:r>
    </w:p>
    <w:bookmarkEnd w:id="16"/>
    <w:bookmarkStart w:id="17" w:name="X9c537b820a624459afa6c9e478c44c119a3d9e0"/>
    <w:p>
      <w:pPr>
        <w:pStyle w:val="Heading3"/>
      </w:pPr>
      <w:r>
        <w:t xml:space="preserve">6. Life insurance: separate growth from earnings quality</w:t>
      </w:r>
    </w:p>
    <w:p>
      <w:pPr>
        <w:pStyle w:val="FirstParagraph"/>
      </w:pPr>
      <w:r>
        <w:t xml:space="preserve">Life NPW grew</w:t>
      </w:r>
      <w:r>
        <w:t xml:space="preserve"> </w:t>
      </w:r>
      <w:r>
        <w:rPr>
          <w:b/>
          <w:bCs/>
        </w:rPr>
        <w:t xml:space="preserve">33.1%</w:t>
      </w:r>
      <w:r>
        <w:t xml:space="preserve"> </w:t>
      </w:r>
      <w:r>
        <w:t xml:space="preserve">in 1Q, or</w:t>
      </w:r>
      <w:r>
        <w:t xml:space="preserve"> </w:t>
      </w:r>
      <w:r>
        <w:rPr>
          <w:b/>
          <w:bCs/>
        </w:rPr>
        <w:t xml:space="preserve">30.8%</w:t>
      </w:r>
      <w:r>
        <w:t xml:space="preserve"> </w:t>
      </w:r>
      <w:r>
        <w:t xml:space="preserve">in constant currency, but a significant part of that increase came from savings-oriented single-premium products. Management has already indicated that this pace is unlikely to persist and that it prefers growth in regular-premium and risk-based products.</w:t>
      </w:r>
    </w:p>
    <w:p>
      <w:pPr>
        <w:pStyle w:val="BodyText"/>
      </w:pPr>
      <w:r>
        <w:t xml:space="preserve">For 2Q, the better outcome is not necessarily maximum Life premium growth. Instead, investors should want to see:</w:t>
      </w:r>
    </w:p>
    <w:p>
      <w:pPr>
        <w:pStyle w:val="Compact"/>
        <w:numPr>
          <w:ilvl w:val="0"/>
          <w:numId w:val="1007"/>
        </w:numPr>
      </w:pPr>
      <w:r>
        <w:t xml:space="preserve">Healthy traditional regular-premium growth in Asia.</w:t>
      </w:r>
    </w:p>
    <w:p>
      <w:pPr>
        <w:pStyle w:val="Compact"/>
        <w:numPr>
          <w:ilvl w:val="0"/>
          <w:numId w:val="1007"/>
        </w:numPr>
      </w:pPr>
      <w:r>
        <w:t xml:space="preserve">Continued worksite-benefits expansion in North America.</w:t>
      </w:r>
    </w:p>
    <w:p>
      <w:pPr>
        <w:pStyle w:val="Compact"/>
        <w:numPr>
          <w:ilvl w:val="0"/>
          <w:numId w:val="1007"/>
        </w:numPr>
      </w:pPr>
      <w:r>
        <w:t xml:space="preserve">Life segment-income growth that keeps pace with the strategic importance of the franchise.</w:t>
      </w:r>
    </w:p>
    <w:p>
      <w:pPr>
        <w:pStyle w:val="Compact"/>
        <w:numPr>
          <w:ilvl w:val="0"/>
          <w:numId w:val="1007"/>
        </w:numPr>
      </w:pPr>
      <w:r>
        <w:t xml:space="preserve">Appropriate margins and capital efficiency, rather than premium growth driven predominantly by lower-margin savings products.</w:t>
      </w:r>
    </w:p>
    <w:bookmarkEnd w:id="17"/>
    <w:bookmarkEnd w:id="18"/>
    <w:bookmarkStart w:id="19" w:name="what-could-drive-an-upside-reaction"/>
    <w:p>
      <w:pPr>
        <w:pStyle w:val="Heading2"/>
      </w:pPr>
      <w:r>
        <w:t xml:space="preserve">What could drive an upside reaction</w:t>
      </w:r>
    </w:p>
    <w:p>
      <w:pPr>
        <w:pStyle w:val="Compact"/>
        <w:numPr>
          <w:ilvl w:val="0"/>
          <w:numId w:val="1008"/>
        </w:numPr>
      </w:pPr>
      <w:r>
        <w:rPr>
          <w:b/>
          <w:bCs/>
        </w:rPr>
        <w:t xml:space="preserve">Core EPS above $6.72</w:t>
      </w:r>
      <w:r>
        <w:t xml:space="preserve">, aided by NII at or above the top end of guidance.</w:t>
      </w:r>
    </w:p>
    <w:p>
      <w:pPr>
        <w:pStyle w:val="Compact"/>
        <w:numPr>
          <w:ilvl w:val="0"/>
          <w:numId w:val="1008"/>
        </w:numPr>
      </w:pPr>
      <w:r>
        <w:rPr>
          <w:b/>
          <w:bCs/>
        </w:rPr>
        <w:t xml:space="preserve">Underlying combined ratio at or below ~82.5%</w:t>
      </w:r>
      <w:r>
        <w:t xml:space="preserve">, demonstrating that underwriting margins are holding despite the property mix shift.</w:t>
      </w:r>
    </w:p>
    <w:p>
      <w:pPr>
        <w:pStyle w:val="Compact"/>
        <w:numPr>
          <w:ilvl w:val="0"/>
          <w:numId w:val="1008"/>
        </w:numPr>
      </w:pPr>
      <w:r>
        <w:rPr>
          <w:b/>
          <w:bCs/>
        </w:rPr>
        <w:t xml:space="preserve">Premium growth above expectations</w:t>
      </w:r>
      <w:r>
        <w:t xml:space="preserve">, while management confirms that it is not compromising price or terms to deliver it.</w:t>
      </w:r>
    </w:p>
    <w:p>
      <w:pPr>
        <w:pStyle w:val="Compact"/>
        <w:numPr>
          <w:ilvl w:val="0"/>
          <w:numId w:val="1008"/>
        </w:numPr>
      </w:pPr>
      <w:r>
        <w:rPr>
          <w:b/>
          <w:bCs/>
        </w:rPr>
        <w:t xml:space="preserve">Stable casualty pricing and reserves</w:t>
      </w:r>
      <w:r>
        <w:t xml:space="preserve">, limiting concerns about broader commercial-market softening or long-tail inflation.</w:t>
      </w:r>
    </w:p>
    <w:p>
      <w:pPr>
        <w:pStyle w:val="Compact"/>
        <w:numPr>
          <w:ilvl w:val="0"/>
          <w:numId w:val="1008"/>
        </w:numPr>
      </w:pPr>
      <w:r>
        <w:rPr>
          <w:b/>
          <w:bCs/>
        </w:rPr>
        <w:t xml:space="preserve">Constructive comments on second-half earnings growth, tangible book-value growth, and capital deployment.</w:t>
      </w:r>
    </w:p>
    <w:bookmarkEnd w:id="19"/>
    <w:bookmarkStart w:id="20" w:name="what-could-disappoint"/>
    <w:p>
      <w:pPr>
        <w:pStyle w:val="Heading2"/>
      </w:pPr>
      <w:r>
        <w:t xml:space="preserve">What could disappoint</w:t>
      </w:r>
    </w:p>
    <w:p>
      <w:pPr>
        <w:pStyle w:val="Compact"/>
        <w:numPr>
          <w:ilvl w:val="0"/>
          <w:numId w:val="1009"/>
        </w:numPr>
      </w:pPr>
      <w:r>
        <w:rPr>
          <w:b/>
          <w:bCs/>
        </w:rPr>
        <w:t xml:space="preserve">Underlying combined-ratio deterioration</w:t>
      </w:r>
      <w:r>
        <w:t xml:space="preserve"> </w:t>
      </w:r>
      <w:r>
        <w:t xml:space="preserve">materially beyond the expected 30 bps of pressure.</w:t>
      </w:r>
    </w:p>
    <w:p>
      <w:pPr>
        <w:pStyle w:val="Compact"/>
        <w:numPr>
          <w:ilvl w:val="0"/>
          <w:numId w:val="1009"/>
        </w:numPr>
      </w:pPr>
      <w:r>
        <w:rPr>
          <w:b/>
          <w:bCs/>
        </w:rPr>
        <w:t xml:space="preserve">Weak growth outside intentionally shrinking large-account property</w:t>
      </w:r>
      <w:r>
        <w:t xml:space="preserve">, suggesting softness has spread further across the portfolio.</w:t>
      </w:r>
    </w:p>
    <w:p>
      <w:pPr>
        <w:pStyle w:val="Compact"/>
        <w:numPr>
          <w:ilvl w:val="0"/>
          <w:numId w:val="1009"/>
        </w:numPr>
      </w:pPr>
      <w:r>
        <w:rPr>
          <w:b/>
          <w:bCs/>
        </w:rPr>
        <w:t xml:space="preserve">Elevated catastrophe losses</w:t>
      </w:r>
      <w:r>
        <w:t xml:space="preserve"> </w:t>
      </w:r>
      <w:r>
        <w:t xml:space="preserve">or adverse long-tail reserve development.</w:t>
      </w:r>
    </w:p>
    <w:p>
      <w:pPr>
        <w:pStyle w:val="Compact"/>
        <w:numPr>
          <w:ilvl w:val="0"/>
          <w:numId w:val="1009"/>
        </w:numPr>
      </w:pPr>
      <w:r>
        <w:rPr>
          <w:b/>
          <w:bCs/>
        </w:rPr>
        <w:t xml:space="preserve">NII below the guided range</w:t>
      </w:r>
      <w:r>
        <w:t xml:space="preserve">, especially if tied to weaker private-equity or alternative-investment income.</w:t>
      </w:r>
    </w:p>
    <w:p>
      <w:pPr>
        <w:pStyle w:val="Compact"/>
        <w:numPr>
          <w:ilvl w:val="0"/>
          <w:numId w:val="1009"/>
        </w:numPr>
      </w:pPr>
      <w:r>
        <w:rPr>
          <w:b/>
          <w:bCs/>
        </w:rPr>
        <w:t xml:space="preserve">Evidence that terms and conditions are deteriorating alongside price</w:t>
      </w:r>
      <w:r>
        <w:t xml:space="preserve">, rather than merely rate declines in large-account property.</w:t>
      </w:r>
    </w:p>
    <w:p>
      <w:pPr>
        <w:pStyle w:val="Compact"/>
        <w:numPr>
          <w:ilvl w:val="0"/>
          <w:numId w:val="1009"/>
        </w:numPr>
      </w:pPr>
      <w:r>
        <w:rPr>
          <w:b/>
          <w:bCs/>
        </w:rPr>
        <w:t xml:space="preserve">Life growth that is increasingly dependent on low-margin single-premium savings business.</w:t>
      </w:r>
    </w:p>
    <w:bookmarkEnd w:id="20"/>
    <w:bookmarkStart w:id="21" w:name="stock-setup-and-investor-framing"/>
    <w:p>
      <w:pPr>
        <w:pStyle w:val="Heading2"/>
      </w:pPr>
      <w:r>
        <w:t xml:space="preserve">Stock setup and investor framing</w:t>
      </w:r>
    </w:p>
    <w:p>
      <w:pPr>
        <w:pStyle w:val="FirstParagraph"/>
      </w:pPr>
      <w:r>
        <w:t xml:space="preserve">CB closed at</w:t>
      </w:r>
      <w:r>
        <w:t xml:space="preserve"> </w:t>
      </w:r>
      <w:r>
        <w:rPr>
          <w:b/>
          <w:bCs/>
        </w:rPr>
        <w:t xml:space="preserve">$352.57 on July 20</w:t>
      </w:r>
      <w:r>
        <w:t xml:space="preserve">, up about</w:t>
      </w:r>
      <w:r>
        <w:t xml:space="preserve"> </w:t>
      </w:r>
      <w:r>
        <w:rPr>
          <w:b/>
          <w:bCs/>
        </w:rPr>
        <w:t xml:space="preserve">13.7% year to date</w:t>
      </w:r>
      <w:r>
        <w:t xml:space="preserve"> </w:t>
      </w:r>
      <w:r>
        <w:t xml:space="preserve">and roughly</w:t>
      </w:r>
      <w:r>
        <w:t xml:space="preserve"> </w:t>
      </w:r>
      <w:r>
        <w:rPr>
          <w:b/>
          <w:bCs/>
        </w:rPr>
        <w:t xml:space="preserve">7.1% since the 1Q earnings release</w:t>
      </w:r>
      <w:r>
        <w:t xml:space="preserve">. The share-price performance suggests that investors already recognize the quality of Chubb’s earnings model, particularly its underwriting discipline, international diversification, investment-income tailwind, and consistent buyback capacity.</w:t>
      </w:r>
    </w:p>
    <w:p>
      <w:pPr>
        <w:pStyle w:val="BodyText"/>
      </w:pPr>
      <w:r>
        <w:t xml:space="preserve">That raises the bar: a simple EPS beat may be insufficient if it comes from favorable cats, reserve development, or investment variability. The more durable positive catalyst would be evidence that Chubb can continue to generate high-teens or better core ROTE while protecting margins in the face of a rapidly softening property market.</w:t>
      </w:r>
    </w:p>
    <w:bookmarkEnd w:id="21"/>
    <w:bookmarkStart w:id="22" w:name="preview-conclusion"/>
    <w:p>
      <w:pPr>
        <w:pStyle w:val="Heading2"/>
      </w:pPr>
      <w:r>
        <w:t xml:space="preserve">Preview conclusion</w:t>
      </w:r>
    </w:p>
    <w:p>
      <w:pPr>
        <w:pStyle w:val="FirstParagraph"/>
      </w:pPr>
      <w:r>
        <w:t xml:space="preserve">The 2Q26 report is principally a test of</w:t>
      </w:r>
      <w:r>
        <w:t xml:space="preserve"> </w:t>
      </w:r>
      <w:r>
        <w:rPr>
          <w:b/>
          <w:bCs/>
        </w:rPr>
        <w:t xml:space="preserve">discipline over volume</w:t>
      </w:r>
      <w:r>
        <w:t xml:space="preserve">. Chubb’s decision to shrink inadequately priced property business is strategically sensible, but the market will want proof that earnings can still compound through casualty, middle-market and small-commercial lines, personal insurance, overseas consumer/commercial operations, life, and a growing investment-income base.</w:t>
      </w:r>
    </w:p>
    <w:p>
      <w:pPr>
        <w:pStyle w:val="BodyText"/>
      </w:pPr>
      <w:r>
        <w:rPr>
          <w:b/>
          <w:bCs/>
        </w:rPr>
        <w:t xml:space="preserve">The key scorecard:</w:t>
      </w:r>
      <w:r>
        <w:br/>
      </w:r>
      <w:r>
        <w:rPr>
          <w:b/>
          <w:bCs/>
        </w:rPr>
        <w:t xml:space="preserve">Underlying combined ratio + property-pricing commentary + premium-growth mix + NII delivery + casualty reserve development.</w:t>
      </w:r>
    </w:p>
    <w:p>
      <w:pPr>
        <w:pStyle w:val="BodyText"/>
      </w:pPr>
      <w:r>
        <w:t xml:space="preserve">If those five items are constructive, CB should remain one of the better-positioned large-cap P&amp;C insurers despite a softening commercial-property cycle.</w:t>
      </w:r>
    </w:p>
    <w:bookmarkEnd w:id="22"/>
    <w:bookmarkEnd w:id="23"/>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2026-07-21T00:59:00Z</dcterms:created>
  <dcterms:modified xsi:type="dcterms:W3CDTF">2026-07-21T00:59:00Z</dcterms:modified>
</cp:coreProperties>
</file>

<file path=docProps/custom.xml><?xml version="1.0" encoding="utf-8"?>
<Properties xmlns="http://schemas.openxmlformats.org/officeDocument/2006/custom-properties" xmlns:vt="http://schemas.openxmlformats.org/officeDocument/2006/docPropsVTypes"/>
</file>