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ffiv-earnings-predictions--2026-07-27"/>
    <w:p>
      <w:pPr>
        <w:pStyle w:val="Heading1"/>
      </w:pPr>
      <w:r>
        <w:t xml:space="preserve">FFIV Earnings Predictions — 2026-07-27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FFIV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Revenue (Q3'26, non-GAAP)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</w:t>
            </w:r>
            <m:oMath>
              <m:r>
                <m:t>846</m:t>
              </m:r>
              <m:r>
                <m:t>M</m:t>
              </m:r>
              <m:r>
                <m:t>v</m:t>
              </m:r>
              <m:r>
                <m:t>s</m:t>
              </m:r>
              <m:r>
                <m:rPr>
                  <m:sty m:val="p"/>
                </m:rPr>
                <m:t>.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 </m:t>
              </m:r>
            </m:oMath>
            <w:r>
              <w:t xml:space="preserve">833M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FFIV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Non-GAAP EPS (Q3'26)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</w:t>
            </w:r>
            <m:oMath>
              <m:r>
                <m:t>4.18</m:t>
              </m:r>
              <m:r>
                <m:t>v</m:t>
              </m:r>
              <m:r>
                <m:t>s</m:t>
              </m:r>
              <m:r>
                <m:rPr>
                  <m:sty m:val="p"/>
                </m:rPr>
                <m:t>.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 </m:t>
              </m:r>
            </m:oMath>
            <w:r>
              <w:t xml:space="preserve">3.99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FFIV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Non-GAAP gross margin (Q3'26)</w:t>
            </w:r>
          </w:p>
        </w:tc>
        <w:tc>
          <w:tcPr/>
          <w:p>
            <w:pPr>
              <w:pStyle w:val="Compact"/>
            </w:pPr>
            <w:r>
              <w:t xml:space="preserve">IN-LINE</w:t>
            </w:r>
          </w:p>
        </w:tc>
        <w:tc>
          <w:tcPr/>
          <w:p>
            <w:pPr>
              <w:pStyle w:val="Compact"/>
            </w:pPr>
            <w:r>
              <w:t xml:space="preserve">pred ~83.1% vs. cons ~83.0%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FFIV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Q4'26 revenue guide</w:t>
            </w:r>
          </w:p>
        </w:tc>
        <w:tc>
          <w:tcPr/>
          <w:p>
            <w:pPr>
              <w:pStyle w:val="Compact"/>
            </w:pPr>
            <w:r>
              <w:t xml:space="preserve">BETTER</w:t>
            </w:r>
          </w:p>
        </w:tc>
        <w:tc>
          <w:tcPr/>
          <w:p>
            <w:pPr>
              <w:pStyle w:val="Compact"/>
            </w:pPr>
            <w:r>
              <w:t xml:space="preserve">guide ~</w:t>
            </w:r>
            <m:oMath>
              <m:r>
                <m:t>855</m:t>
              </m:r>
              <m:r>
                <m:t>M</m:t>
              </m:r>
              <m:r>
                <m:t>v</m:t>
              </m:r>
              <m:r>
                <m:t>s</m:t>
              </m:r>
              <m:r>
                <m:rPr>
                  <m:sty m:val="p"/>
                </m:rPr>
                <m:t>.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 </m:t>
              </m:r>
            </m:oMath>
            <w:r>
              <w:t xml:space="preserve">845M (Q4'26)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FFIV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FY26 revenue growth guide (raise #3)</w:t>
            </w:r>
          </w:p>
        </w:tc>
        <w:tc>
          <w:tcPr/>
          <w:p>
            <w:pPr>
              <w:pStyle w:val="Compact"/>
            </w:pPr>
            <w:r>
              <w:t xml:space="preserve">BETTER</w:t>
            </w:r>
          </w:p>
        </w:tc>
        <w:tc>
          <w:tcPr/>
          <w:p>
            <w:pPr>
              <w:pStyle w:val="Compact"/>
            </w:pPr>
            <w:r>
              <w:t xml:space="preserve">guide ~8–9% vs. cons ~8% / prior 7–8% (FY26)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FFIV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FY26 non-GAAP EPS guide</w:t>
            </w:r>
          </w:p>
        </w:tc>
        <w:tc>
          <w:tcPr/>
          <w:p>
            <w:pPr>
              <w:pStyle w:val="Compact"/>
            </w:pPr>
            <w:r>
              <w:t xml:space="preserve">BETTER</w:t>
            </w:r>
          </w:p>
        </w:tc>
        <w:tc>
          <w:tcPr/>
          <w:p>
            <w:pPr>
              <w:pStyle w:val="Compact"/>
            </w:pPr>
            <w:r>
              <w:t xml:space="preserve">guide ~</w:t>
            </w:r>
            <m:oMath>
              <m:r>
                <m:t>16.55</m:t>
              </m:r>
              <m:r>
                <m:rPr>
                  <m:sty m:val="p"/>
                </m:rPr>
                <m:t>–</m:t>
              </m:r>
              <m:r>
                <m:t>16.85</m:t>
              </m:r>
              <m:r>
                <m:t>v</m:t>
              </m:r>
              <m:r>
                <m:t>s</m:t>
              </m:r>
              <m:r>
                <m:rPr>
                  <m:sty m:val="p"/>
                </m:rPr>
                <m:t>.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 </m:t>
              </m:r>
            </m:oMath>
            <w:r>
              <w:t xml:space="preserve">16.55 (FY26)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FFIV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Q4 gross-margin step-down (memory/SSD cost)</w:t>
            </w:r>
          </w:p>
        </w:tc>
        <w:tc>
          <w:tcPr/>
          <w:p>
            <w:pPr>
              <w:pStyle w:val="Compact"/>
            </w:pPr>
            <w:r>
              <w:t xml:space="preserve">LOWER</w:t>
            </w:r>
          </w:p>
        </w:tc>
        <w:tc>
          <w:tcPr/>
          <w:p>
            <w:pPr>
              <w:pStyle w:val="Compact"/>
            </w:pPr>
            <w:r>
              <w:t xml:space="preserve">guide ~81.5–82.5% vs. cons ~82.8% (Q4'26)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FFIV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FY27 software growth inflection commentary</w:t>
            </w:r>
          </w:p>
        </w:tc>
        <w:tc>
          <w:tcPr/>
          <w:p>
            <w:pPr>
              <w:pStyle w:val="Compact"/>
            </w:pPr>
            <w:r>
              <w:t xml:space="preserve">BETTER</w:t>
            </w:r>
          </w:p>
        </w:tc>
        <w:tc>
          <w:tcPr/>
          <w:p>
            <w:pPr>
              <w:pStyle w:val="Compact"/>
            </w:pPr>
            <w:r>
              <w:t xml:space="preserve">framing ~double-digit vs. cons ~mid-to-high-single-digit (FY27)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FFIV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Direct AI sales run-rate update</w:t>
            </w:r>
          </w:p>
        </w:tc>
        <w:tc>
          <w:tcPr/>
          <w:p>
            <w:pPr>
              <w:pStyle w:val="Compact"/>
            </w:pPr>
            <w:r>
              <w:t xml:space="preserve">BETTER</w:t>
            </w:r>
          </w:p>
        </w:tc>
        <w:tc>
          <w:tcPr/>
          <w:p>
            <w:pPr>
              <w:pStyle w:val="Compact"/>
            </w:pPr>
            <w:r>
              <w:t xml:space="preserve">pred ~</w:t>
            </w:r>
            <m:oMath>
              <m:r>
                <m:t>70</m:t>
              </m:r>
              <m:r>
                <m:t>M</m:t>
              </m:r>
              <m:r>
                <m:rPr>
                  <m:sty m:val="p"/>
                </m:rPr>
                <m:t>+</m:t>
              </m:r>
              <m:r>
                <m:t>H</m:t>
              </m:r>
              <m:r>
                <m:t>1</m:t>
              </m:r>
              <m:r>
                <m:rPr>
                  <m:sty m:val="p"/>
                </m:rPr>
                <m:t>+</m:t>
              </m:r>
              <m:r>
                <m:t>Q</m:t>
              </m:r>
              <m:r>
                <m:t>3</m:t>
              </m:r>
              <m:r>
                <m:t>v</m:t>
              </m:r>
              <m:r>
                <m:t>s</m:t>
              </m:r>
              <m:r>
                <m:rPr>
                  <m:sty m:val="p"/>
                </m:rPr>
                <m:t>.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 </m:t>
              </m:r>
            </m:oMath>
            <w:r>
              <w:t xml:space="preserve">50M prior disclosure (FY26 YTD)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FFIV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+3.5%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FFIV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+1.5% (FADE)</w:t>
            </w:r>
          </w:p>
        </w:tc>
        <w:tc>
          <w:tcPr/>
          <w:p>
            <w:pPr>
              <w:pStyle w:val="Compact"/>
            </w:pPr>
            <w:r>
              <w:t xml:space="preserve">A beat-and-raise off a de-risked entry (stock already ~9% off the July-14 high) should drive a positive day-1 pop, but the out-period math works against follow-through: the explicit Q4 gross-margin step-down from elevated memory/SSD costs (persisting into FY27) and only mid-single-digit FY26 software growth cap near-term EPS revisions even after the headline beat, so estimates get trimmed on the out-quarters. Combined with a stretched multiple and litigation/cyber overhang, the initial gain partially gives back, leaving a smaller positive residual by day 5.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2026-07-27T00:05:30Z</dcterms:created>
  <dcterms:modified xsi:type="dcterms:W3CDTF">2026-07-27T00:05:30Z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