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LVS to build a comprehensive earnings preview. Let me start by gathering recent documents and data.I'll read the most recent earnings materials and get recent news. Let me gather these in parallel.Let me get the year-ago comparison quarter (2025Q2) and recent stock/news context.Let me get recent news and analyst context via search.Let me get LVS-specific recent news and current analyst estimates via web search.I have enough to write a well-grounded preview. Let me compile a few final data points.Here is the preview.</w:t>
      </w:r>
    </w:p>
    <w:p>
      <w:r>
        <w:pict>
          <v:rect style="width:0;height:1.5pt" o:hralign="center" o:hrstd="t" o:hr="t"/>
        </w:pict>
      </w:r>
    </w:p>
    <w:bookmarkStart w:id="16" w:name="X153c96f5b2934e78bd60b48387487544c919535"/>
    <w:p>
      <w:pPr>
        <w:pStyle w:val="Heading1"/>
      </w:pPr>
      <w:r>
        <w:t xml:space="preserve">Las Vegas Sands (LVS) — Q2 2026 Earnings Preview</w:t>
      </w:r>
    </w:p>
    <w:bookmarkStart w:id="9" w:name="X7dae8d635fbd3d9e4bffe8f4684ec90ac13d0fe"/>
    <w:p>
      <w:pPr>
        <w:pStyle w:val="Heading3"/>
      </w:pPr>
      <w:r>
        <w:t xml:space="preserve">Reports after the close, Wednesday, July 22, 2026 | 2026Q2 Earnings Call</w:t>
      </w:r>
    </w:p>
    <w:bookmarkEnd w:id="9"/>
    <w:bookmarkStart w:id="10" w:name="X1175515c8c6a1d42cfc6008d3a16dc0a870ea1e"/>
    <w:p>
      <w:pPr>
        <w:pStyle w:val="Heading2"/>
      </w:pPr>
      <w:r>
        <w:t xml:space="preserve">The setup: strong fundamentals, punished stock</w:t>
      </w:r>
    </w:p>
    <w:p>
      <w:pPr>
        <w:pStyle w:val="FirstParagraph"/>
      </w:pPr>
      <w:r>
        <w:t xml:space="preserve">The central tension going into this print is the disconnect between LVS's operating momentum and its share price. Headline results have been excellent for several quarters, yet the stock has fallen roughly</w:t>
      </w:r>
      <w:r>
        <w:t xml:space="preserve"> </w:t>
      </w:r>
      <w:r>
        <w:rPr>
          <w:b/>
          <w:bCs/>
        </w:rPr>
        <w:t xml:space="preserve">30% year-to-date</w:t>
      </w:r>
      <w:r>
        <w:t xml:space="preserve">, from ~</w:t>
      </w:r>
      <m:oMath>
        <m:r>
          <m:t>65</m:t>
        </m:r>
        <m:r>
          <m:t>i</m:t>
        </m:r>
        <m:r>
          <m:t>n</m:t>
        </m:r>
        <m:r>
          <m:t>e</m:t>
        </m:r>
        <m:r>
          <m:t>a</m:t>
        </m:r>
        <m:r>
          <m:t>r</m:t>
        </m:r>
        <m:r>
          <m:t>l</m:t>
        </m:r>
        <m:r>
          <m:t>y</m:t>
        </m:r>
        <m:r>
          <m:t>J</m:t>
        </m:r>
        <m:r>
          <m:t>a</m:t>
        </m:r>
        <m:r>
          <m:t>n</m:t>
        </m:r>
        <m:r>
          <m:t>u</m:t>
        </m:r>
        <m:r>
          <m:t>a</m:t>
        </m:r>
        <m:r>
          <m:t>r</m:t>
        </m:r>
        <m:r>
          <m:t>y</m:t>
        </m:r>
        <m:r>
          <m:t>t</m:t>
        </m:r>
        <m:r>
          <m:t>o</m:t>
        </m:r>
        <m:r>
          <m:rPr>
            <m:sty m:val="p"/>
          </m:rPr>
          <m:t>*</m:t>
        </m:r>
        <m:r>
          <m:rPr>
            <m:sty m:val="p"/>
          </m:rPr>
          <m:t>*</m:t>
        </m:r>
      </m:oMath>
      <w:r>
        <w:t xml:space="preserve">45.48** on July 21 — near 52-week lows and well below the Street's average price target in the low-to-mid $60s (consensus rating: Buy). Notably, the stock</w:t>
      </w:r>
      <w:r>
        <w:t xml:space="preserve"> </w:t>
      </w:r>
      <w:r>
        <w:rPr>
          <w:i/>
          <w:iCs/>
        </w:rPr>
        <w:t xml:space="preserve">dropped on both of its last two "beats,"</w:t>
      </w:r>
      <w:r>
        <w:t xml:space="preserve"> </w:t>
      </w:r>
      <w:r>
        <w:t xml:space="preserve">falling ~14% the day after the Q4 print (late January) and ~9% after Q1 (late April). That pattern tells you what matters this quarter isn't the headline number — it's</w:t>
      </w:r>
      <w:r>
        <w:t xml:space="preserve"> </w:t>
      </w:r>
      <w:r>
        <w:rPr>
          <w:b/>
          <w:bCs/>
        </w:rPr>
        <w:t xml:space="preserve">Macao margins, Singapore hold normalization, and the pace of buybacks.</w:t>
      </w:r>
    </w:p>
    <w:p>
      <w:pPr>
        <w:pStyle w:val="BodyText"/>
      </w:pPr>
      <w:r>
        <w:rPr>
          <w:b/>
          <w:bCs/>
        </w:rPr>
        <w:t xml:space="preserve">Consensus:</w:t>
      </w:r>
      <w:r>
        <w:t xml:space="preserve"> </w:t>
      </w:r>
      <w:r>
        <w:t xml:space="preserve">Street is looking for adjusted EPS of roughly</w:t>
      </w:r>
      <w:r>
        <w:t xml:space="preserve"> </w:t>
      </w:r>
      <m:oMath>
        <m:r>
          <m:t>0.76</m:t>
        </m:r>
        <m:r>
          <m:rPr>
            <m:sty m:val="p"/>
          </m:rPr>
          <m:t>–</m:t>
        </m:r>
        <m:r>
          <m:t>0.78</m:t>
        </m:r>
        <m:r>
          <m:rPr>
            <m:sty m:val="p"/>
          </m:rPr>
          <m:t>*</m:t>
        </m:r>
        <m:r>
          <m:rPr>
            <m:sty m:val="p"/>
          </m:rPr>
          <m:t>*</m:t>
        </m:r>
        <m:r>
          <m:rPr>
            <m:sty m:val="p"/>
          </m:rPr>
          <m:t>,</m:t>
        </m:r>
        <m:r>
          <m:t>e</m:t>
        </m:r>
        <m:r>
          <m:t>s</m:t>
        </m:r>
        <m:r>
          <m:t>s</m:t>
        </m:r>
        <m:r>
          <m:t>e</m:t>
        </m:r>
        <m:r>
          <m:t>n</m:t>
        </m:r>
        <m:r>
          <m:t>t</m:t>
        </m:r>
        <m:r>
          <m:t>i</m:t>
        </m:r>
        <m:r>
          <m:t>a</m:t>
        </m:r>
        <m:r>
          <m:t>l</m:t>
        </m:r>
        <m:r>
          <m:t>l</m:t>
        </m:r>
        <m:r>
          <m:t>y</m:t>
        </m:r>
        <m:r>
          <m:t>f</m:t>
        </m:r>
        <m:r>
          <m:t>l</m:t>
        </m:r>
        <m:r>
          <m:t>a</m:t>
        </m:r>
        <m:r>
          <m:t>t</m:t>
        </m:r>
        <m:r>
          <m:rPr>
            <m:sty m:val="p"/>
          </m:rPr>
          <m:t>−</m:t>
        </m:r>
        <m:r>
          <m:t>t</m:t>
        </m:r>
        <m:r>
          <m:t>o</m:t>
        </m:r>
        <m:r>
          <m:rPr>
            <m:sty m:val="p"/>
          </m:rPr>
          <m:t>−</m:t>
        </m:r>
        <m:r>
          <m:t>d</m:t>
        </m:r>
        <m:r>
          <m:t>o</m:t>
        </m:r>
        <m:r>
          <m:t>w</m:t>
        </m:r>
        <m:r>
          <m:t>n</m:t>
        </m:r>
        <m:r>
          <m:t>v</m:t>
        </m:r>
        <m:r>
          <m:t>e</m:t>
        </m:r>
        <m:r>
          <m:t>r</m:t>
        </m:r>
        <m:r>
          <m:t>s</m:t>
        </m:r>
        <m:r>
          <m:t>u</m:t>
        </m:r>
        <m:r>
          <m:t>s</m:t>
        </m:r>
        <m:r>
          <m:t>t</m:t>
        </m:r>
        <m:r>
          <m:t>h</m:t>
        </m:r>
        <m:r>
          <m:t>e</m:t>
        </m:r>
        <m:r>
          <m:rPr>
            <m:sty m:val="p"/>
          </m:rPr>
          <m:t>*</m:t>
        </m:r>
        <m:r>
          <m:rPr>
            <m:sty m:val="p"/>
          </m:rPr>
          <m:t>*</m:t>
        </m:r>
      </m:oMath>
      <w:r>
        <w:rPr>
          <w:b/>
          <w:bCs/>
        </w:rPr>
        <w:t xml:space="preserve">0.79</w:t>
      </w:r>
      <w:r>
        <w:t xml:space="preserve"> </w:t>
      </w:r>
      <w:r>
        <w:t xml:space="preserve">adjusted EPS in Q2 2025. Estimates have drifted down ~4% over the past month, so the bar has come in. LVS has beaten in each of the last four quarters (average surprise ~25%), so a modest headline beat would not be surprising — the reaction will hinge on segment quality and commentary.</w:t>
      </w:r>
    </w:p>
    <w:p>
      <w:r>
        <w:pict>
          <v:rect style="width:0;height:1.5pt" o:hralign="center" o:hrstd="t" o:hr="t"/>
        </w:pict>
      </w:r>
    </w:p>
    <w:bookmarkEnd w:id="10"/>
    <w:bookmarkStart w:id="11" w:name="X336b7149d765700776053b4a62ec95994b27d29"/>
    <w:p>
      <w:pPr>
        <w:pStyle w:val="Heading2"/>
      </w:pPr>
      <w:r>
        <w:t xml:space="preserve">What to watch #1: Macao — the "$700M/quarter" bogey vs. a softer market</w:t>
      </w:r>
    </w:p>
    <w:p>
      <w:pPr>
        <w:pStyle w:val="FirstParagraph"/>
      </w:pPr>
      <w:r>
        <w:t xml:space="preserve">Management has publicly framed</w:t>
      </w:r>
      <w:r>
        <w:t xml:space="preserve"> </w:t>
      </w:r>
      <w:r>
        <w:rPr>
          <w:b/>
          <w:bCs/>
        </w:rPr>
        <w:t xml:space="preserve">$700M in quarterly Macao EBITDA and beyond</w:t>
      </w:r>
      <w:r>
        <w:t xml:space="preserve"> </w:t>
      </w:r>
      <w:r>
        <w:t xml:space="preserve">as its milestone goal. For context on the trajectory:</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Macao EBITDA</w:t>
            </w:r>
          </w:p>
        </w:tc>
        <w:tc>
          <w:tcPr/>
          <w:p>
            <w:pPr>
              <w:pStyle w:val="Compact"/>
            </w:pPr>
            <w:r>
              <w:t xml:space="preserve">Q2'25</w:t>
            </w:r>
          </w:p>
        </w:tc>
        <w:tc>
          <w:tcPr/>
          <w:p>
            <w:pPr>
              <w:pStyle w:val="Compact"/>
            </w:pPr>
            <w:r>
              <w:t xml:space="preserve">Q1'26</w:t>
            </w:r>
          </w:p>
        </w:tc>
      </w:tr>
      <w:tr>
        <w:tc>
          <w:tcPr/>
          <w:p>
            <w:pPr>
              <w:pStyle w:val="Compact"/>
            </w:pPr>
            <w:r>
              <w:t xml:space="preserve">Adj. Property EBITDA</w:t>
            </w:r>
          </w:p>
        </w:tc>
        <w:tc>
          <w:tcPr/>
          <w:p>
            <w:pPr>
              <w:pStyle w:val="Compact"/>
            </w:pPr>
            <w:r>
              <w:t xml:space="preserve">$566M</w:t>
            </w:r>
          </w:p>
        </w:tc>
        <w:tc>
          <w:tcPr/>
          <w:p>
            <w:pPr>
              <w:pStyle w:val="Compact"/>
            </w:pPr>
            <w:r>
              <w:t xml:space="preserve">$633M</w:t>
            </w:r>
          </w:p>
        </w:tc>
      </w:tr>
      <w:tr>
        <w:tc>
          <w:tcPr/>
          <w:p>
            <w:pPr>
              <w:pStyle w:val="Compact"/>
            </w:pPr>
            <w:r>
              <w:t xml:space="preserve">Margin</w:t>
            </w:r>
          </w:p>
        </w:tc>
        <w:tc>
          <w:tcPr/>
          <w:p>
            <w:pPr>
              <w:pStyle w:val="Compact"/>
            </w:pPr>
            <w:r>
              <w:t xml:space="preserve">31.5%</w:t>
            </w:r>
          </w:p>
        </w:tc>
        <w:tc>
          <w:tcPr/>
          <w:p>
            <w:pPr>
              <w:pStyle w:val="Compact"/>
            </w:pPr>
            <w:r>
              <w:t xml:space="preserve">29.9%</w:t>
            </w:r>
          </w:p>
        </w:tc>
      </w:tr>
    </w:tbl>
    <w:p>
      <w:pPr>
        <w:pStyle w:val="Compact"/>
        <w:numPr>
          <w:ilvl w:val="0"/>
          <w:numId w:val="1001"/>
        </w:numPr>
      </w:pPr>
      <w:r>
        <w:rPr>
          <w:b/>
          <w:bCs/>
        </w:rPr>
        <w:t xml:space="preserve">Seasonality is a headwind sequentially.</w:t>
      </w:r>
      <w:r>
        <w:t xml:space="preserve"> </w:t>
      </w:r>
      <w:r>
        <w:t xml:space="preserve">Management explicitly warned that Q2 is typically the softest quarter and that Q1→Q2 comparisons are unfavorable because Chinese New Year falls in Q1. Don't read a sequential dip from $633M as deterioration.</w:t>
      </w:r>
    </w:p>
    <w:p>
      <w:pPr>
        <w:pStyle w:val="Compact"/>
        <w:numPr>
          <w:ilvl w:val="0"/>
          <w:numId w:val="1001"/>
        </w:numPr>
      </w:pPr>
      <w:r>
        <w:rPr>
          <w:b/>
          <w:bCs/>
        </w:rPr>
        <w:t xml:space="preserve">The market decelerated through the quarter.</w:t>
      </w:r>
      <w:r>
        <w:t xml:space="preserve"> </w:t>
      </w:r>
      <w:r>
        <w:t xml:space="preserve">Industry GGR was roughly MOP19.9bn in April,</w:t>
      </w:r>
      <w:r>
        <w:t xml:space="preserve"> </w:t>
      </w:r>
      <w:r>
        <w:rPr>
          <w:b/>
          <w:bCs/>
        </w:rPr>
        <w:t xml:space="preserve">+6.7% YoY in May</w:t>
      </w:r>
      <w:r>
        <w:t xml:space="preserve">, but</w:t>
      </w:r>
      <w:r>
        <w:t xml:space="preserve"> </w:t>
      </w:r>
      <w:r>
        <w:rPr>
          <w:b/>
          <w:bCs/>
        </w:rPr>
        <w:t xml:space="preserve">−12.1% YoY in June</w:t>
      </w:r>
      <w:r>
        <w:t xml:space="preserve"> </w:t>
      </w:r>
      <w:r>
        <w:t xml:space="preserve">as the expanded FIFA World Cup diverted betting. Q2 market GGR (~MOP61bn) came in below Q1 (~MOP66bn); first-half GGR was up ~6.8% YoY. This is a slower backdrop than the ~14% market growth Sands cited in Q1 — watch whether LVS again</w:t>
      </w:r>
      <w:r>
        <w:t xml:space="preserve"> </w:t>
      </w:r>
      <w:r>
        <w:rPr>
          <w:b/>
          <w:bCs/>
        </w:rPr>
        <w:t xml:space="preserve">outgrew the market and held/gained mass share</w:t>
      </w:r>
      <w:r>
        <w:t xml:space="preserve"> </w:t>
      </w:r>
      <w:r>
        <w:t xml:space="preserve">(mass revenue share was 25.7% in Q1, its best since Q1 2024).</w:t>
      </w:r>
    </w:p>
    <w:p>
      <w:pPr>
        <w:pStyle w:val="Compact"/>
        <w:numPr>
          <w:ilvl w:val="0"/>
          <w:numId w:val="1001"/>
        </w:numPr>
      </w:pPr>
      <w:r>
        <w:rPr>
          <w:b/>
          <w:bCs/>
        </w:rPr>
        <w:t xml:space="preserve">Margins are the crux.</w:t>
      </w:r>
      <w:r>
        <w:t xml:space="preserve"> </w:t>
      </w:r>
      <w:r>
        <w:t xml:space="preserve">Management has been candid that margins will stay pressured near-term as it (a) hires and trains service staff (much already in the OpEx run-rate) and (b) refreshes product. The bull case requires revenue growth to eventually drive operating leverage; the bear case is that reinvestment/promotional intensity stays elevated. Watch reinvestment discipline commentary — Q1 showed sequential improvement.</w:t>
      </w:r>
    </w:p>
    <w:p>
      <w:pPr>
        <w:pStyle w:val="Compact"/>
        <w:numPr>
          <w:ilvl w:val="0"/>
          <w:numId w:val="1001"/>
        </w:numPr>
      </w:pPr>
      <w:r>
        <w:rPr>
          <w:b/>
          <w:bCs/>
        </w:rPr>
        <w:t xml:space="preserve">Venetian renovation begins to bite/benefit.</w:t>
      </w:r>
      <w:r>
        <w:t xml:space="preserve"> </w:t>
      </w:r>
      <w:r>
        <w:t xml:space="preserve">The flagship's room refresh started, with new rooms coming online in</w:t>
      </w:r>
      <w:r>
        <w:t xml:space="preserve"> </w:t>
      </w:r>
      <w:r>
        <w:rPr>
          <w:b/>
          <w:bCs/>
        </w:rPr>
        <w:t xml:space="preserve">Q3 2026</w:t>
      </w:r>
      <w:r>
        <w:t xml:space="preserve"> </w:t>
      </w:r>
      <w:r>
        <w:t xml:space="preserve">and the full project (incl. suites/villas) running into late 2027. Management insists disruption will be modest given portfolio scale — first live update on execution comes this quarter.</w:t>
      </w:r>
    </w:p>
    <w:p>
      <w:pPr>
        <w:pStyle w:val="Compact"/>
        <w:numPr>
          <w:ilvl w:val="0"/>
          <w:numId w:val="1001"/>
        </w:numPr>
      </w:pPr>
      <w:r>
        <w:rPr>
          <w:b/>
          <w:bCs/>
        </w:rPr>
        <w:t xml:space="preserve">Londoner Grand ramp</w:t>
      </w:r>
      <w:r>
        <w:t xml:space="preserve"> </w:t>
      </w:r>
      <w:r>
        <w:t xml:space="preserve">remains a key share/EBITDA driver; watch continued momentum.</w:t>
      </w:r>
    </w:p>
    <w:p>
      <w:r>
        <w:pict>
          <v:rect style="width:0;height:1.5pt" o:hralign="center" o:hrstd="t" o:hr="t"/>
        </w:pict>
      </w:r>
    </w:p>
    <w:bookmarkEnd w:id="11"/>
    <w:bookmarkStart w:id="12" w:name="X6dd40bf5b3aa307713174e76768b6d02a5a9a6f"/>
    <w:p>
      <w:pPr>
        <w:pStyle w:val="Heading2"/>
      </w:pPr>
      <w:r>
        <w:t xml:space="preserve">What to watch #2: Singapore (Marina Bay Sands) — the tough hold comp</w:t>
      </w:r>
    </w:p>
    <w:p>
      <w:pPr>
        <w:pStyle w:val="FirstParagraph"/>
      </w:pPr>
      <w:r>
        <w:t xml:space="preserve">MBS is the crown jewel, but Q2 sets up a genuinely difficult year-over-year comparison: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MBS</w:t>
            </w:r>
          </w:p>
        </w:tc>
        <w:tc>
          <w:tcPr/>
          <w:p>
            <w:pPr>
              <w:pStyle w:val="Compact"/>
            </w:pPr>
            <w:r>
              <w:t xml:space="preserve">Q2'25</w:t>
            </w:r>
          </w:p>
        </w:tc>
        <w:tc>
          <w:tcPr/>
          <w:p>
            <w:pPr>
              <w:pStyle w:val="Compact"/>
            </w:pPr>
            <w:r>
              <w:t xml:space="preserve">Q1'26</w:t>
            </w:r>
          </w:p>
        </w:tc>
      </w:tr>
      <w:tr>
        <w:tc>
          <w:tcPr/>
          <w:p>
            <w:pPr>
              <w:pStyle w:val="Compact"/>
            </w:pPr>
            <w:r>
              <w:t xml:space="preserve">Adj. Property EBITDA</w:t>
            </w:r>
          </w:p>
        </w:tc>
        <w:tc>
          <w:tcPr/>
          <w:p>
            <w:pPr>
              <w:pStyle w:val="Compact"/>
            </w:pPr>
            <w:r>
              <w:t xml:space="preserve">$768M</w:t>
            </w:r>
          </w:p>
        </w:tc>
        <w:tc>
          <w:tcPr/>
          <w:p>
            <w:pPr>
              <w:pStyle w:val="Compact"/>
            </w:pPr>
            <w:r>
              <w:t xml:space="preserve">$788M</w:t>
            </w:r>
          </w:p>
        </w:tc>
      </w:tr>
      <w:tr>
        <w:tc>
          <w:tcPr/>
          <w:p>
            <w:pPr>
              <w:pStyle w:val="Compact"/>
            </w:pPr>
            <w:r>
              <w:t xml:space="preserve">Margin</w:t>
            </w:r>
          </w:p>
        </w:tc>
        <w:tc>
          <w:tcPr/>
          <w:p>
            <w:pPr>
              <w:pStyle w:val="Compact"/>
            </w:pPr>
            <w:r>
              <w:t xml:space="preserve">55.3%</w:t>
            </w:r>
          </w:p>
        </w:tc>
        <w:tc>
          <w:tcPr/>
          <w:p>
            <w:pPr>
              <w:pStyle w:val="Compact"/>
            </w:pPr>
            <w:r>
              <w:t xml:space="preserve">53.0%</w:t>
            </w:r>
          </w:p>
        </w:tc>
      </w:tr>
    </w:tbl>
    <w:p>
      <w:pPr>
        <w:pStyle w:val="Compact"/>
        <w:numPr>
          <w:ilvl w:val="0"/>
          <w:numId w:val="1002"/>
        </w:numPr>
      </w:pPr>
      <w:r>
        <w:rPr>
          <w:b/>
          <w:bCs/>
        </w:rPr>
        <w:t xml:space="preserve">The Q2 2025 comp was inflated by ~</w:t>
      </w:r>
      <w:r>
        <w:rPr>
          <w:b/>
          <w:bCs/>
        </w:rPr>
        <w:t xml:space="preserve">$107M of high rolling-chip hold.** Stripping that out, "normalized" year-ago MBS EBITDA was closer to **~$</w:t>
      </w:r>
      <w:r>
        <w:rPr>
          <w:b/>
          <w:bCs/>
        </w:rPr>
        <w:t xml:space="preserve">661M</w:t>
      </w:r>
      <w:r>
        <w:t xml:space="preserve">. So even a strong operational quarter could show flat-to-down</w:t>
      </w:r>
      <w:r>
        <w:t xml:space="preserve"> </w:t>
      </w:r>
      <w:r>
        <w:rPr>
          <w:i/>
          <w:iCs/>
        </w:rPr>
        <w:t xml:space="preserve">reported</w:t>
      </w:r>
      <w:r>
        <w:t xml:space="preserve"> </w:t>
      </w:r>
      <w:r>
        <w:t xml:space="preserve">YoY EBITDA purely on hold — management will steer investors to the hold-adjusted figures, and the market should too.</w:t>
      </w:r>
    </w:p>
    <w:p>
      <w:pPr>
        <w:pStyle w:val="Compact"/>
        <w:numPr>
          <w:ilvl w:val="0"/>
          <w:numId w:val="1002"/>
        </w:numPr>
      </w:pPr>
      <w:r>
        <w:rPr>
          <w:b/>
          <w:bCs/>
        </w:rPr>
        <w:t xml:space="preserve">VIP volatility is the swing factor.</w:t>
      </w:r>
      <w:r>
        <w:t xml:space="preserve"> </w:t>
      </w:r>
      <w:r>
        <w:t xml:space="preserve">Q1's $18.0bn of rolling volume (vs.</w:t>
      </w:r>
      <w:r>
        <w:t xml:space="preserve"> </w:t>
      </w:r>
      <w:r>
        <w:t xml:space="preserve">$8.0bn a year earlier) was extraordinary; management repeatedly stressed VIP play is "volatile and concentrated" and can vary quarter to quarter. The durable earnings drivers are **mass table win and slots** — watch those, plus ADR/RevPAR (MBS ADR hit ~$</w:t>
      </w:r>
      <w:r>
        <w:t xml:space="preserve">1,006 in Q1).</w:t>
      </w:r>
    </w:p>
    <w:p>
      <w:pPr>
        <w:pStyle w:val="Compact"/>
        <w:numPr>
          <w:ilvl w:val="0"/>
          <w:numId w:val="1002"/>
        </w:numPr>
      </w:pPr>
      <w:r>
        <w:rPr>
          <w:b/>
          <w:bCs/>
        </w:rPr>
        <w:t xml:space="preserve">IR2 (MBS expansion) capex and timeline.</w:t>
      </w:r>
      <w:r>
        <w:t xml:space="preserve"> </w:t>
      </w:r>
      <w:r>
        <w:t xml:space="preserve">The delayed-draw term facility (~$4.94bn available) funds this multi-year build; look for any update on spend cadence and the targeted ~20%+ project ROIC.</w:t>
      </w:r>
    </w:p>
    <w:p>
      <w:r>
        <w:pict>
          <v:rect style="width:0;height:1.5pt" o:hralign="center" o:hrstd="t" o:hr="t"/>
        </w:pict>
      </w:r>
    </w:p>
    <w:bookmarkEnd w:id="12"/>
    <w:bookmarkStart w:id="13" w:name="X1e6f43bff2bbef5a16e7a92bd47b3ece33738e0"/>
    <w:p>
      <w:pPr>
        <w:pStyle w:val="Heading2"/>
      </w:pPr>
      <w:r>
        <w:t xml:space="preserve">What to watch #3: Capital returns — pace and a possible new authorization</w:t>
      </w:r>
    </w:p>
    <w:p>
      <w:pPr>
        <w:pStyle w:val="FirstParagraph"/>
      </w:pPr>
      <w:r>
        <w:t xml:space="preserve">Buybacks have been the load-bearing pillar of the equity story, and cheap stock makes them more accretive:</w:t>
      </w:r>
    </w:p>
    <w:p>
      <w:pPr>
        <w:pStyle w:val="Compact"/>
        <w:numPr>
          <w:ilvl w:val="0"/>
          <w:numId w:val="1003"/>
        </w:numPr>
      </w:pPr>
      <w:r>
        <w:t xml:space="preserve">LVS repurchased</w:t>
      </w:r>
      <w:r>
        <w:t xml:space="preserve"> </w:t>
      </w:r>
      <m:oMath>
        <m:r>
          <m:t>800</m:t>
        </m:r>
        <m:r>
          <m:t>M</m:t>
        </m:r>
        <m:r>
          <m:rPr>
            <m:sty m:val="p"/>
          </m:rPr>
          <m:t>*</m:t>
        </m:r>
        <m:r>
          <m:rPr>
            <m:sty m:val="p"/>
          </m:rPr>
          <m:t>*</m:t>
        </m:r>
        <m:r>
          <m:t>o</m:t>
        </m:r>
        <m:r>
          <m:t>f</m:t>
        </m:r>
        <m:r>
          <m:t>s</m:t>
        </m:r>
        <m:r>
          <m:t>t</m:t>
        </m:r>
        <m:r>
          <m:t>o</m:t>
        </m:r>
        <m:r>
          <m:t>c</m:t>
        </m:r>
        <m:r>
          <m:t>k</m:t>
        </m:r>
        <m:r>
          <m:t>i</m:t>
        </m:r>
        <m:r>
          <m:t>n</m:t>
        </m:r>
        <m:r>
          <m:t>Q</m:t>
        </m:r>
        <m:r>
          <m:t>2</m:t>
        </m:r>
        <m:r>
          <m:t>2025</m:t>
        </m:r>
        <m:r>
          <m:t>a</m:t>
        </m:r>
        <m:r>
          <m:t>n</m:t>
        </m:r>
        <m:r>
          <m:t>d</m:t>
        </m:r>
        <m:r>
          <m:rPr>
            <m:sty m:val="p"/>
          </m:rPr>
          <m:t>*</m:t>
        </m:r>
        <m:r>
          <m:rPr>
            <m:sty m:val="p"/>
          </m:rPr>
          <m:t>*</m:t>
        </m:r>
      </m:oMath>
      <w:r>
        <w:rPr>
          <w:b/>
          <w:bCs/>
        </w:rPr>
        <w:t xml:space="preserve">740M</w:t>
      </w:r>
      <w:r>
        <w:t xml:space="preserve"> </w:t>
      </w:r>
      <w:r>
        <w:t xml:space="preserve">in Q1 2026, and has retired ~14%+ of shares over the past ~10 quarters. With shares down sharply, expect management to lean in.</w:t>
      </w:r>
    </w:p>
    <w:p>
      <w:pPr>
        <w:pStyle w:val="Compact"/>
        <w:numPr>
          <w:ilvl w:val="0"/>
          <w:numId w:val="1003"/>
        </w:numPr>
      </w:pPr>
      <w:r>
        <w:rPr>
          <w:b/>
          <w:bCs/>
        </w:rPr>
        <w:t xml:space="preserve">Watch the authorization.</w:t>
      </w:r>
      <w:r>
        <w:t xml:space="preserve"> </w:t>
      </w:r>
      <w:r>
        <w:t xml:space="preserve">Only</w:t>
      </w:r>
      <w:r>
        <w:t xml:space="preserve"> </w:t>
      </w:r>
      <w:r>
        <w:rPr>
          <w:b/>
          <w:bCs/>
        </w:rPr>
        <w:t xml:space="preserve">$817M remained</w:t>
      </w:r>
      <w:r>
        <w:t xml:space="preserve"> </w:t>
      </w:r>
      <w:r>
        <w:t xml:space="preserve">on the buyback program as of March 31, 2026 — at recent quarterly run-rates that is nearly exhausted, so a</w:t>
      </w:r>
      <w:r>
        <w:t xml:space="preserve"> </w:t>
      </w:r>
      <w:r>
        <w:rPr>
          <w:b/>
          <w:bCs/>
        </w:rPr>
        <w:t xml:space="preserve">new/expanded authorization</w:t>
      </w:r>
      <w:r>
        <w:t xml:space="preserve"> </w:t>
      </w:r>
      <w:r>
        <w:t xml:space="preserve">is a realistic and important catalyst.</w:t>
      </w:r>
    </w:p>
    <w:p>
      <w:pPr>
        <w:pStyle w:val="Compact"/>
        <w:numPr>
          <w:ilvl w:val="0"/>
          <w:numId w:val="1003"/>
        </w:numPr>
      </w:pPr>
      <w:r>
        <w:t xml:space="preserve">Dividend is</w:t>
      </w:r>
      <w:r>
        <w:t xml:space="preserve"> </w:t>
      </w:r>
      <w:r>
        <w:rPr>
          <w:b/>
          <w:bCs/>
        </w:rPr>
        <w:t xml:space="preserve">$0.30/quarter</w:t>
      </w:r>
      <w:r>
        <w:t xml:space="preserve"> </w:t>
      </w:r>
      <w:r>
        <w:t xml:space="preserve">(raised from $0.25 a year ago). SCL ownership was 74.8%; watch for any incremental SCL purchases (none in Q1).</w:t>
      </w:r>
    </w:p>
    <w:p>
      <w:r>
        <w:pict>
          <v:rect style="width:0;height:1.5pt" o:hralign="center" o:hrstd="t" o:hr="t"/>
        </w:pict>
      </w:r>
    </w:p>
    <w:bookmarkEnd w:id="13"/>
    <w:bookmarkStart w:id="14" w:name="other-modeling-items"/>
    <w:p>
      <w:pPr>
        <w:pStyle w:val="Heading2"/>
      </w:pPr>
      <w:r>
        <w:t xml:space="preserve">Other modeling items</w:t>
      </w:r>
    </w:p>
    <w:p>
      <w:pPr>
        <w:pStyle w:val="Compact"/>
        <w:numPr>
          <w:ilvl w:val="0"/>
          <w:numId w:val="1004"/>
        </w:numPr>
      </w:pPr>
      <w:r>
        <w:rPr>
          <w:b/>
          <w:bCs/>
        </w:rPr>
        <w:t xml:space="preserve">Interest expense</w:t>
      </w:r>
      <w:r>
        <w:t xml:space="preserve"> </w:t>
      </w:r>
      <w:r>
        <w:t xml:space="preserve">~</w:t>
      </w:r>
      <m:oMath>
        <m:r>
          <m:t>185</m:t>
        </m:r>
        <m:r>
          <m:rPr>
            <m:sty m:val="p"/>
          </m:rPr>
          <m:t>–</m:t>
        </m:r>
        <m:r>
          <m:t>195</m:t>
        </m:r>
        <m:r>
          <m:t>M</m:t>
        </m:r>
        <m:r>
          <m:rPr>
            <m:sty m:val="p"/>
          </m:rPr>
          <m:t>/</m:t>
        </m:r>
        <m:r>
          <m:t>q</m:t>
        </m:r>
        <m:r>
          <m:t>u</m:t>
        </m:r>
        <m:r>
          <m:t>a</m:t>
        </m:r>
        <m:r>
          <m:t>r</m:t>
        </m:r>
        <m:r>
          <m:t>t</m:t>
        </m:r>
        <m:r>
          <m:t>e</m:t>
        </m:r>
        <m:r>
          <m:t>r</m:t>
        </m:r>
        <m:r>
          <m:t>o</m:t>
        </m:r>
        <m:r>
          <m:t>n</m:t>
        </m:r>
        <m:r>
          <m:t>a</m:t>
        </m:r>
        <m:r>
          <m:t> </m:t>
        </m:r>
      </m:oMath>
      <w:r>
        <w:t xml:space="preserve">16bn weighted debt balance (~4.6% cost);</w:t>
      </w:r>
      <w:r>
        <w:t xml:space="preserve"> </w:t>
      </w:r>
      <w:r>
        <w:rPr>
          <w:b/>
          <w:bCs/>
        </w:rPr>
        <w:t xml:space="preserve">tax rate</w:t>
      </w:r>
      <w:r>
        <w:t xml:space="preserve"> </w:t>
      </w:r>
      <w:r>
        <w:t xml:space="preserve">in the mid-teens (driven by Singapore's 17% statutory rate).</w:t>
      </w:r>
    </w:p>
    <w:p>
      <w:pPr>
        <w:pStyle w:val="Compact"/>
        <w:numPr>
          <w:ilvl w:val="0"/>
          <w:numId w:val="1004"/>
        </w:numPr>
      </w:pPr>
      <w:r>
        <w:rPr>
          <w:b/>
          <w:bCs/>
        </w:rPr>
        <w:t xml:space="preserve">Leadership note:</w:t>
      </w:r>
      <w:r>
        <w:t xml:space="preserve"> </w:t>
      </w:r>
      <w:r>
        <w:t xml:space="preserve">This is a Patrick Dumont-led (Chairman &amp; CEO) print; Q2 2025 was the last quarter under Rob Goldstein. Tone/strategy continuity has been consistent.</w:t>
      </w:r>
    </w:p>
    <w:p>
      <w:pPr>
        <w:pStyle w:val="Compact"/>
        <w:numPr>
          <w:ilvl w:val="0"/>
          <w:numId w:val="1004"/>
        </w:numPr>
      </w:pPr>
      <w:r>
        <w:rPr>
          <w:b/>
          <w:bCs/>
        </w:rPr>
        <w:t xml:space="preserve">Development/pre-opening expense</w:t>
      </w:r>
      <w:r>
        <w:t xml:space="preserve"> </w:t>
      </w:r>
      <w:r>
        <w:t xml:space="preserve">flows below property EBITDA and is added back in adjusted EPS.</w:t>
      </w:r>
    </w:p>
    <w:p>
      <w:r>
        <w:pict>
          <v:rect style="width:0;height:1.5pt" o:hralign="center" o:hrstd="t" o:hr="t"/>
        </w:pict>
      </w:r>
    </w:p>
    <w:bookmarkEnd w:id="14"/>
    <w:bookmarkStart w:id="15" w:name="bottom-line"/>
    <w:p>
      <w:pPr>
        <w:pStyle w:val="Heading2"/>
      </w:pPr>
      <w:r>
        <w:t xml:space="preserve">Bottom line</w:t>
      </w:r>
    </w:p>
    <w:p>
      <w:pPr>
        <w:pStyle w:val="FirstParagraph"/>
      </w:pPr>
      <w:r>
        <w:t xml:space="preserve">Expect a</w:t>
      </w:r>
      <w:r>
        <w:t xml:space="preserve"> </w:t>
      </w:r>
      <w:r>
        <w:rPr>
          <w:b/>
          <w:bCs/>
        </w:rPr>
        <w:t xml:space="preserve">fundamentally solid but optically noisy quarter</w:t>
      </w:r>
      <w:r>
        <w:t xml:space="preserve">: Singapore should be strong operationally but faces a ~</w:t>
      </w:r>
      <m:oMath>
        <m:r>
          <m:t>107</m:t>
        </m:r>
        <m:r>
          <m:t>M</m:t>
        </m:r>
        <m:r>
          <m:t>h</m:t>
        </m:r>
        <m:r>
          <m:t>o</m:t>
        </m:r>
        <m:r>
          <m:t>l</m:t>
        </m:r>
        <m:r>
          <m:t>d</m:t>
        </m:r>
        <m:r>
          <m:rPr>
            <m:sty m:val="p"/>
          </m:rPr>
          <m:t>−</m:t>
        </m:r>
        <m:r>
          <m:t>i</m:t>
        </m:r>
        <m:r>
          <m:t>n</m:t>
        </m:r>
        <m:r>
          <m:t>f</m:t>
        </m:r>
        <m:r>
          <m:t>l</m:t>
        </m:r>
        <m:r>
          <m:t>a</m:t>
        </m:r>
        <m:r>
          <m:t>t</m:t>
        </m:r>
        <m:r>
          <m:t>e</m:t>
        </m:r>
        <m:r>
          <m:t>d</m:t>
        </m:r>
        <m:r>
          <m:t>y</m:t>
        </m:r>
        <m:r>
          <m:t>e</m:t>
        </m:r>
        <m:r>
          <m:t>a</m:t>
        </m:r>
        <m:r>
          <m:t>r</m:t>
        </m:r>
        <m:r>
          <m:rPr>
            <m:sty m:val="p"/>
          </m:rPr>
          <m:t>−</m:t>
        </m:r>
        <m:r>
          <m:t>a</m:t>
        </m:r>
        <m:r>
          <m:t>g</m:t>
        </m:r>
        <m:r>
          <m:t>o</m:t>
        </m:r>
        <m:r>
          <m:t>c</m:t>
        </m:r>
        <m:r>
          <m:t>o</m:t>
        </m:r>
        <m:r>
          <m:t>m</m:t>
        </m:r>
        <m:r>
          <m:t>p</m:t>
        </m:r>
        <m:r>
          <m:rPr>
            <m:sty m:val="p"/>
          </m:rPr>
          <m:t>,</m:t>
        </m:r>
        <m:r>
          <m:t>w</m:t>
        </m:r>
        <m:r>
          <m:t>h</m:t>
        </m:r>
        <m:r>
          <m:t>i</m:t>
        </m:r>
        <m:r>
          <m:t>l</m:t>
        </m:r>
        <m:r>
          <m:t>e</m:t>
        </m:r>
        <m:r>
          <m:t>M</m:t>
        </m:r>
        <m:r>
          <m:t>a</m:t>
        </m:r>
        <m:r>
          <m:t>c</m:t>
        </m:r>
        <m:r>
          <m:t>a</m:t>
        </m:r>
        <m:r>
          <m:t>o</m:t>
        </m:r>
        <m:r>
          <m:t>c</m:t>
        </m:r>
        <m:r>
          <m:t>o</m:t>
        </m:r>
        <m:r>
          <m:t>n</m:t>
        </m:r>
        <m:r>
          <m:t>t</m:t>
        </m:r>
        <m:r>
          <m:t>e</m:t>
        </m:r>
        <m:r>
          <m:t>n</m:t>
        </m:r>
        <m:r>
          <m:t>d</m:t>
        </m:r>
        <m:r>
          <m:t>s</m:t>
        </m:r>
        <m:r>
          <m:t>w</m:t>
        </m:r>
        <m:r>
          <m:t>i</m:t>
        </m:r>
        <m:r>
          <m:t>t</m:t>
        </m:r>
        <m:r>
          <m:t>h</m:t>
        </m:r>
        <m:r>
          <m:t>s</m:t>
        </m:r>
        <m:r>
          <m:t>e</m:t>
        </m:r>
        <m:r>
          <m:t>a</m:t>
        </m:r>
        <m:r>
          <m:t>s</m:t>
        </m:r>
        <m:r>
          <m:t>o</m:t>
        </m:r>
        <m:r>
          <m:t>n</m:t>
        </m:r>
        <m:r>
          <m:t>a</m:t>
        </m:r>
        <m:r>
          <m:t>l</m:t>
        </m:r>
        <m:r>
          <m:t>i</m:t>
        </m:r>
        <m:r>
          <m:t>t</m:t>
        </m:r>
        <m:r>
          <m:t>y</m:t>
        </m:r>
        <m:r>
          <m:t>a</m:t>
        </m:r>
        <m:r>
          <m:t>n</m:t>
        </m:r>
        <m:r>
          <m:t>d</m:t>
        </m:r>
        <m:r>
          <m:t>a</m:t>
        </m:r>
        <m:r>
          <m:t>s</m:t>
        </m:r>
        <m:r>
          <m:t>o</m:t>
        </m:r>
        <m:r>
          <m:t>f</m:t>
        </m:r>
        <m:r>
          <m:t>t</m:t>
        </m:r>
        <m:r>
          <m:t>e</m:t>
        </m:r>
        <m:r>
          <m:t>r</m:t>
        </m:r>
        <m:r>
          <m:rPr>
            <m:sty m:val="p"/>
          </m:rPr>
          <m:t>,</m:t>
        </m:r>
        <m:r>
          <m:t>W</m:t>
        </m:r>
        <m:r>
          <m:t>o</m:t>
        </m:r>
        <m:r>
          <m:t>r</m:t>
        </m:r>
        <m:r>
          <m:t>l</m:t>
        </m:r>
        <m:r>
          <m:t>d</m:t>
        </m:r>
        <m:r>
          <m:rPr>
            <m:sty m:val="p"/>
          </m:rPr>
          <m:t>−</m:t>
        </m:r>
        <m:r>
          <m:t>C</m:t>
        </m:r>
        <m:r>
          <m:t>u</m:t>
        </m:r>
        <m:r>
          <m:t>p</m:t>
        </m:r>
        <m:r>
          <m:rPr>
            <m:sty m:val="p"/>
          </m:rPr>
          <m:t>−</m:t>
        </m:r>
        <m:r>
          <m:t>d</m:t>
        </m:r>
        <m:r>
          <m:t>i</m:t>
        </m:r>
        <m:r>
          <m:t>s</m:t>
        </m:r>
        <m:r>
          <m:t>r</m:t>
        </m:r>
        <m:r>
          <m:t>u</m:t>
        </m:r>
        <m:r>
          <m:t>p</m:t>
        </m:r>
        <m:r>
          <m:t>t</m:t>
        </m:r>
        <m:r>
          <m:t>e</m:t>
        </m:r>
        <m:r>
          <m:t>d</m:t>
        </m:r>
        <m:r>
          <m:t>m</m:t>
        </m:r>
        <m:r>
          <m:t>a</m:t>
        </m:r>
        <m:r>
          <m:t>r</m:t>
        </m:r>
        <m:r>
          <m:t>k</m:t>
        </m:r>
        <m:r>
          <m:t>e</m:t>
        </m:r>
        <m:r>
          <m:t>t</m:t>
        </m:r>
        <m:r>
          <m:rPr>
            <m:sty m:val="p"/>
          </m:rPr>
          <m:t>(</m:t>
        </m:r>
        <m:r>
          <m:t>J</m:t>
        </m:r>
        <m:r>
          <m:t>u</m:t>
        </m:r>
        <m:r>
          <m:t>n</m:t>
        </m:r>
        <m:r>
          <m:t>e</m:t>
        </m:r>
        <m:r>
          <m:t>G</m:t>
        </m:r>
        <m:r>
          <m:t>G</m:t>
        </m:r>
        <m:r>
          <m:t>R</m:t>
        </m:r>
        <m:r>
          <m:rPr>
            <m:sty m:val="p"/>
          </m:rPr>
          <m:t>−</m:t>
        </m:r>
        <m:r>
          <m:t>12</m:t>
        </m:r>
      </m:oMath>
      <w:r>
        <w:t xml:space="preserve">0.77 EPS headline. With the stock down ~30% YTD and trading well below Street targets, expectations are reset low; the risk/reward now leans on management convincing investors that the reinvestment cycle is an</w:t>
      </w:r>
      <w:r>
        <w:t xml:space="preserve"> </w:t>
      </w:r>
      <w:r>
        <w:rPr>
          <w:i/>
          <w:iCs/>
        </w:rPr>
        <w:t xml:space="preserve">investment</w:t>
      </w:r>
      <w:r>
        <w:t xml:space="preserve"> </w:t>
      </w:r>
      <w:r>
        <w:t xml:space="preserve">rather than a permanent margin reset.</w:t>
      </w:r>
    </w:p>
    <w:p>
      <w:pPr>
        <w:pStyle w:val="BodyText"/>
      </w:pPr>
      <w:r>
        <w:rPr>
          <w:i/>
          <w:iCs/>
        </w:rPr>
        <w:t xml:space="preserve">Key numbers to anchor on: Macao EBITDA vs. ~$633M Q1 run-rate and the</w:t>
      </w:r>
      <w:r>
        <w:rPr>
          <w:i/>
          <w:iCs/>
        </w:rPr>
        <w:t xml:space="preserve"> </w:t>
      </w:r>
      <m:oMath>
        <m:r>
          <m:t>700</m:t>
        </m:r>
        <m:r>
          <m:t>M</m:t>
        </m:r>
        <m:r>
          <m:t>g</m:t>
        </m:r>
        <m:r>
          <m:t>o</m:t>
        </m:r>
        <m:r>
          <m:t>a</m:t>
        </m:r>
        <m:r>
          <m:t>l</m:t>
        </m:r>
        <m:r>
          <m:rPr>
            <m:sty m:val="p"/>
          </m:rPr>
          <m:t>;</m:t>
        </m:r>
        <m:r>
          <m:t>M</m:t>
        </m:r>
        <m:r>
          <m:t>B</m:t>
        </m:r>
        <m:r>
          <m:t>S</m:t>
        </m:r>
        <m:r>
          <m:t>E</m:t>
        </m:r>
        <m:r>
          <m:t>B</m:t>
        </m:r>
        <m:r>
          <m:t>I</m:t>
        </m:r>
        <m:r>
          <m:t>T</m:t>
        </m:r>
        <m:r>
          <m:t>D</m:t>
        </m:r>
        <m:r>
          <m:t>A</m:t>
        </m:r>
        <m:r>
          <m:t>o</m:t>
        </m:r>
        <m:r>
          <m:t>n</m:t>
        </m:r>
        <m:r>
          <m:t>a</m:t>
        </m:r>
        <m:r>
          <m:t>h</m:t>
        </m:r>
        <m:r>
          <m:t>o</m:t>
        </m:r>
        <m:r>
          <m:t>l</m:t>
        </m:r>
        <m:r>
          <m:t>d</m:t>
        </m:r>
        <m:r>
          <m:rPr>
            <m:sty m:val="p"/>
          </m:rPr>
          <m:t>−</m:t>
        </m:r>
        <m:r>
          <m:t>a</m:t>
        </m:r>
        <m:r>
          <m:t>d</m:t>
        </m:r>
        <m:r>
          <m:t>j</m:t>
        </m:r>
        <m:r>
          <m:t>u</m:t>
        </m:r>
        <m:r>
          <m:t>s</m:t>
        </m:r>
        <m:r>
          <m:t>t</m:t>
        </m:r>
        <m:r>
          <m:t>e</m:t>
        </m:r>
        <m:r>
          <m:t>d</m:t>
        </m:r>
        <m:r>
          <m:t>b</m:t>
        </m:r>
        <m:r>
          <m:t>a</m:t>
        </m:r>
        <m:r>
          <m:t>s</m:t>
        </m:r>
        <m:r>
          <m:t>i</m:t>
        </m:r>
        <m:r>
          <m:t>s</m:t>
        </m:r>
        <m:r>
          <m:t>v</m:t>
        </m:r>
        <m:r>
          <m:t>s</m:t>
        </m:r>
        <m:r>
          <m:rPr>
            <m:sty m:val="p"/>
          </m:rPr>
          <m:t>.</m:t>
        </m:r>
        <m:r>
          <m:t> </m:t>
        </m:r>
      </m:oMath>
      <w:r>
        <w:rPr>
          <w:i/>
          <w:iCs/>
        </w:rPr>
        <w:t xml:space="preserve">661M normalized; buyback dollars and remaining authorization; and any Venetian-renovation disruption commentary.</w:t>
      </w:r>
    </w:p>
    <w:bookmarkEnd w:id="15"/>
    <w:bookmarkEnd w:id="16"/>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2026-07-22T00:35:05Z</dcterms:created>
  <dcterms:modified xsi:type="dcterms:W3CDTF">2026-07-22T00:35:05Z</dcterms:modified>
</cp:coreProperties>
</file>

<file path=docProps/custom.xml><?xml version="1.0" encoding="utf-8"?>
<Properties xmlns="http://schemas.openxmlformats.org/officeDocument/2006/custom-properties" xmlns:vt="http://schemas.openxmlformats.org/officeDocument/2006/docPropsVTypes"/>
</file>