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9" w:name="otis-earnings-predictions--2026-07-22"/>
    <w:p>
      <w:pPr>
        <w:pStyle w:val="Heading1"/>
      </w:pPr>
      <w:r>
        <w:t xml:space="preserve">OTIS Earnings Predictions — 2026-07-22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Ticker</w:t>
            </w:r>
          </w:p>
        </w:tc>
        <w:tc>
          <w:tcPr/>
          <w:p>
            <w:pPr>
              <w:pStyle w:val="Compact"/>
            </w:pPr>
            <w:r>
              <w:t xml:space="preserve">Report or Guide</w:t>
            </w:r>
          </w:p>
        </w:tc>
        <w:tc>
          <w:tcPr/>
          <w:p>
            <w:pPr>
              <w:pStyle w:val="Compact"/>
            </w:pPr>
            <w:r>
              <w:t xml:space="preserve">KPI</w:t>
            </w:r>
          </w:p>
        </w:tc>
        <w:tc>
          <w:tcPr/>
          <w:p>
            <w:pPr>
              <w:pStyle w:val="Compact"/>
            </w:pPr>
            <w:r>
              <w:t xml:space="preserve">Prediction</w:t>
            </w:r>
          </w:p>
        </w:tc>
        <w:tc>
          <w:tcPr/>
          <w:p>
            <w:pPr>
              <w:pStyle w:val="Compact"/>
            </w:pPr>
            <w:r>
              <w:t xml:space="preserve">Answer</w:t>
            </w:r>
          </w:p>
        </w:tc>
        <w:tc>
          <w:tcPr/>
          <w:p>
            <w:pPr>
              <w:pStyle w:val="Compact"/>
            </w:pPr>
            <w:r>
              <w:t xml:space="preserve">Confidence</w:t>
            </w:r>
          </w:p>
        </w:tc>
      </w:tr>
      <w:tr>
        <w:tc>
          <w:tcPr/>
          <w:p>
            <w:pPr>
              <w:pStyle w:val="Compact"/>
            </w:pPr>
            <w:r>
              <w:t xml:space="preserve">OTIS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Adjusted EPS (Q2 2026)</w:t>
            </w:r>
          </w:p>
        </w:tc>
        <w:tc>
          <w:tcPr/>
          <w:p>
            <w:pPr>
              <w:pStyle w:val="Compact"/>
            </w:pPr>
            <w:r>
              <w:t xml:space="preserve">MISS</w:t>
            </w:r>
          </w:p>
        </w:tc>
        <w:tc>
          <w:tcPr/>
          <w:p>
            <w:pPr>
              <w:pStyle w:val="Compact"/>
            </w:pPr>
            <w:r>
              <w:t xml:space="preserve">pred ~$0.97 vs. cons $1.00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OTIS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Total Revenue (Q2 2026)</w:t>
            </w:r>
          </w:p>
        </w:tc>
        <w:tc>
          <w:tcPr/>
          <w:p>
            <w:pPr>
              <w:pStyle w:val="Compact"/>
            </w:pPr>
            <w:r>
              <w:t xml:space="preserve">IN-LINE</w:t>
            </w:r>
          </w:p>
        </w:tc>
        <w:tc>
          <w:tcPr/>
          <w:p>
            <w:pPr>
              <w:pStyle w:val="Compact"/>
            </w:pPr>
            <w:r>
              <w:t xml:space="preserve">pred ~$3.77B vs. cons $3.75B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OTIS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Service Segment Operating Margin (Q2 2026)</w:t>
            </w:r>
          </w:p>
        </w:tc>
        <w:tc>
          <w:tcPr/>
          <w:p>
            <w:pPr>
              <w:pStyle w:val="Compact"/>
            </w:pPr>
            <w:r>
              <w:t xml:space="preserve">MISS</w:t>
            </w:r>
          </w:p>
        </w:tc>
        <w:tc>
          <w:tcPr/>
          <w:p>
            <w:pPr>
              <w:pStyle w:val="Compact"/>
            </w:pPr>
            <w:r>
              <w:t xml:space="preserve">pred ~23.3% vs. cons/guide ~24.0%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OTIS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FY2026 Adjusted EPS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</w:t>
            </w:r>
            <m:oMath>
              <m:r>
                <m:t>4.20</m:t>
              </m:r>
              <m:r>
                <m:rPr>
                  <m:sty m:val="p"/>
                </m:rPr>
                <m:t>−</m:t>
              </m:r>
            </m:oMath>
            <w:r>
              <w:t xml:space="preserve">4.24 (midpoint $4.22) vs. cons $4.22 (FY2026)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OTIS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FY2026 Net Sales / Organic Growth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</w:t>
            </w:r>
            <m:oMath>
              <m:r>
                <m:t>15.1</m:t>
              </m:r>
              <m:r>
                <m:rPr>
                  <m:sty m:val="p"/>
                </m:rPr>
                <m:t>−</m:t>
              </m:r>
            </m:oMath>
            <w:r>
              <w:t xml:space="preserve">15.3B, low-to-mid single digit organic vs. cons $15.2B (FY2026)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OTIS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FY2026 Service Segment Margin Trajectory (full-year 'high 24s')</w:t>
            </w:r>
          </w:p>
        </w:tc>
        <w:tc>
          <w:tcPr/>
          <w:p>
            <w:pPr>
              <w:pStyle w:val="Compact"/>
            </w:pPr>
            <w:r>
              <w:t xml:space="preserve">LOWER</w:t>
            </w:r>
          </w:p>
        </w:tc>
        <w:tc>
          <w:tcPr/>
          <w:p>
            <w:pPr>
              <w:pStyle w:val="Compact"/>
            </w:pPr>
            <w:r>
              <w:t xml:space="preserve">guide ~24.5% vs. cons/prior framing ~24.8-25.0% (FY2026)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OTIS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FY2026 Adjusted Free Cash Flow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</w:t>
            </w:r>
            <m:oMath>
              <m:r>
                <m:t>1.60</m:t>
              </m:r>
              <m:r>
                <m:rPr>
                  <m:sty m:val="p"/>
                </m:rPr>
                <m:t>−</m:t>
              </m:r>
            </m:oMath>
            <w:r>
              <w:t xml:space="preserve">1.65B vs. cons $1.63B (FY2026)</w:t>
            </w:r>
          </w:p>
        </w:tc>
        <w:tc>
          <w:tcPr/>
          <w:p>
            <w:pPr>
              <w:pStyle w:val="Compact"/>
            </w:pPr>
            <w:r>
              <w:t xml:space="preserve">LOW</w:t>
            </w:r>
          </w:p>
        </w:tc>
      </w:tr>
      <w:tr>
        <w:tc>
          <w:tcPr/>
          <w:p>
            <w:pPr>
              <w:pStyle w:val="Compact"/>
            </w:pPr>
            <w:r>
              <w:t xml:space="preserve">OTIS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Day-1 residual (stock − beta × S&amp;P 500)</w:t>
            </w:r>
          </w:p>
        </w:tc>
        <w:tc>
          <w:tcPr/>
          <w:p>
            <w:pPr>
              <w:pStyle w:val="Compact"/>
            </w:pPr>
            <w:r>
              <w:t xml:space="preserve">-3.2%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OTIS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5-day cumulative residual</w:t>
            </w:r>
          </w:p>
        </w:tc>
        <w:tc>
          <w:tcPr/>
          <w:p>
            <w:pPr>
              <w:pStyle w:val="Compact"/>
            </w:pPr>
            <w:r>
              <w:t xml:space="preserve">-4.8% (FOLLOW-THROUGH)</w:t>
            </w:r>
          </w:p>
        </w:tc>
        <w:tc>
          <w:tcPr/>
          <w:p>
            <w:pPr>
              <w:pStyle w:val="Compact"/>
            </w:pPr>
            <w:r>
              <w:t xml:space="preserve">Pattern of three straight quarters where margin disappointment triggered selloffs suggests another Service-margin miss (23.3% vs ~24% guided) will be read as evidence the recovery bridge to Q4 expansion is slipping, prompting analysts to trim out-quarter (Q3/Q4) EPS and full-year margin assumptions even if headline EPS/revenue are roughly in-line; implicit cuts to the back-half bridge (needed to hit</w:t>
            </w:r>
            <w:r>
              <w:t xml:space="preserve"> </w:t>
            </w:r>
            <m:oMath>
              <m:r>
                <m:t>4.20</m:t>
              </m:r>
              <m:r>
                <m:rPr>
                  <m:sty m:val="p"/>
                </m:rPr>
                <m:t>−</m:t>
              </m:r>
            </m:oMath>
            <w:r>
              <w:t xml:space="preserve">4.24) mean estimate revisions continue lower into the print's aftermath rather than stabilizing, extending the day-1 decline over the following days.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</w:tbl>
    <w:bookmarkEnd w:id="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2026-07-22T00:21:36Z</dcterms:created>
  <dcterms:modified xsi:type="dcterms:W3CDTF">2026-07-22T00:21:36Z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