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X867196c59e3b3ec2dd262fbcb45978f6d24090e"/>
    <w:p>
      <w:pPr>
        <w:pStyle w:val="Heading1"/>
      </w:pPr>
      <w:r>
        <w:t xml:space="preserve">Teledyne Technologies (TDY) — 2026 Q2 Earnings Preview</w:t>
      </w:r>
    </w:p>
    <w:p>
      <w:pPr>
        <w:pStyle w:val="BlockText"/>
      </w:pPr>
      <w:r>
        <w:rPr>
          <w:b/>
          <w:bCs/>
        </w:rPr>
        <w:t xml:space="preserve">Timing clarification:</w:t>
      </w:r>
      <w:r>
        <w:t xml:space="preserve"> </w:t>
      </w:r>
      <w:r>
        <w:t xml:space="preserve">Teledyne is reporting</w:t>
      </w:r>
      <w:r>
        <w:t xml:space="preserve"> </w:t>
      </w:r>
      <w:r>
        <w:rPr>
          <w:b/>
          <w:bCs/>
        </w:rPr>
        <w:t xml:space="preserve">today, Wednesday, July 22, 2026</w:t>
      </w:r>
      <w:r>
        <w:t xml:space="preserve">, rather than tomorrow. Results are scheduled before the NYSE open, followed by the earnings call at</w:t>
      </w:r>
      <w:r>
        <w:t xml:space="preserve"> </w:t>
      </w:r>
      <w:r>
        <w:rPr>
          <w:b/>
          <w:bCs/>
        </w:rPr>
        <w:t xml:space="preserve">11:00 a.m. Eastern / 8:00 a.m. Pacific</w:t>
      </w:r>
      <w:r>
        <w:t xml:space="preserve">.</w:t>
      </w:r>
    </w:p>
    <w:bookmarkStart w:id="9" w:name="investment-setup"/>
    <w:p>
      <w:pPr>
        <w:pStyle w:val="Heading2"/>
      </w:pPr>
      <w:r>
        <w:t xml:space="preserve">Investment setup</w:t>
      </w:r>
    </w:p>
    <w:p>
      <w:pPr>
        <w:pStyle w:val="FirstParagraph"/>
      </w:pPr>
      <w:r>
        <w:t xml:space="preserve">Teledyne enters the report with strong operating momentum but a reasonably demanding valuation. First-quarter revenue grew 7.6%, adjusted EPS rose 17.2%, and adjusted operating margin reached a first-quarter record. Management subsequently raised its full-year earnings outlook.</w:t>
      </w:r>
    </w:p>
    <w:p>
      <w:pPr>
        <w:pStyle w:val="BodyText"/>
      </w:pPr>
      <w:r>
        <w:t xml:space="preserve">The central question is therefore not simply whether Teledyne meets its Q2 EPS guidance. Investors will be looking for evidence that:</w:t>
      </w:r>
    </w:p>
    <w:p>
      <w:pPr>
        <w:pStyle w:val="Compact"/>
        <w:numPr>
          <w:ilvl w:val="0"/>
          <w:numId w:val="1001"/>
        </w:numPr>
      </w:pPr>
      <w:r>
        <w:t xml:space="preserve">Defense and infrared-imaging demand remains strong.</w:t>
      </w:r>
    </w:p>
    <w:p>
      <w:pPr>
        <w:pStyle w:val="Compact"/>
        <w:numPr>
          <w:ilvl w:val="0"/>
          <w:numId w:val="1001"/>
        </w:numPr>
      </w:pPr>
      <w:r>
        <w:t xml:space="preserve">Growth is becoming more organic as acquisition comparisons get harder.</w:t>
      </w:r>
    </w:p>
    <w:p>
      <w:pPr>
        <w:pStyle w:val="Compact"/>
        <w:numPr>
          <w:ilvl w:val="0"/>
          <w:numId w:val="1001"/>
        </w:numPr>
      </w:pPr>
      <w:r>
        <w:t xml:space="preserve">Instrumentation margins recover from an unfavorable Q1 mix.</w:t>
      </w:r>
    </w:p>
    <w:p>
      <w:pPr>
        <w:pStyle w:val="Compact"/>
        <w:numPr>
          <w:ilvl w:val="0"/>
          <w:numId w:val="1001"/>
        </w:numPr>
      </w:pPr>
      <w:r>
        <w:t xml:space="preserve">Elevated R&amp;D and capital investment are supporting future growth without eroding margins or cash conversion.</w:t>
      </w:r>
    </w:p>
    <w:p>
      <w:pPr>
        <w:pStyle w:val="Compact"/>
        <w:numPr>
          <w:ilvl w:val="0"/>
          <w:numId w:val="1001"/>
        </w:numPr>
      </w:pPr>
      <w:r>
        <w:t xml:space="preserve">Management can raise—or at least confidently reiterate—its full-year outlook.</w:t>
      </w:r>
    </w:p>
    <w:p>
      <w:pPr>
        <w:pStyle w:val="FirstParagraph"/>
      </w:pPr>
      <w:r>
        <w:t xml:space="preserve">At the July 21 close of</w:t>
      </w:r>
      <w:r>
        <w:t xml:space="preserve"> </w:t>
      </w:r>
      <w:r>
        <w:rPr>
          <w:b/>
          <w:bCs/>
        </w:rPr>
        <w:t xml:space="preserve">$647.52</w:t>
      </w:r>
      <w:r>
        <w:t xml:space="preserve">, the shares trade at approximately</w:t>
      </w:r>
      <w:r>
        <w:t xml:space="preserve"> </w:t>
      </w:r>
      <w:r>
        <w:rPr>
          <w:b/>
          <w:bCs/>
        </w:rPr>
        <w:t xml:space="preserve">27x the midpoint of 2026 adjusted EPS guidance</w:t>
      </w:r>
      <w:r>
        <w:t xml:space="preserve">. That valuation leaves less room for a merely adequate quarter, especially after the company’s unusually strong Q1.</w:t>
      </w:r>
    </w:p>
    <w:p>
      <w:r>
        <w:pict>
          <v:rect style="width:0;height:1.5pt" o:hralign="center" o:hrstd="t" o:hr="t"/>
        </w:pict>
      </w:r>
    </w:p>
    <w:bookmarkEnd w:id="9"/>
    <w:bookmarkStart w:id="10" w:name="key-numbers-going-into-the-report"/>
    <w:p>
      <w:pPr>
        <w:pStyle w:val="Heading2"/>
      </w:pPr>
      <w:r>
        <w:t xml:space="preserve">Key numbers going into the report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Q2 2026 company guidance / reference point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Comparison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GAAP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4.75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4.90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$4.43 in Q2 2025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5.70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5.80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$5.20 in Q2 2025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FY2026 GAAP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20.08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20.44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Raised from</w:t>
            </w:r>
            <w:r>
              <w:t xml:space="preserve"> </w:t>
            </w:r>
            <m:oMath>
              <m:r>
                <m:t>19.76</m:t>
              </m:r>
              <m:r>
                <m:rPr>
                  <m:sty m:val="p"/>
                </m:rPr>
                <m:t>–</m:t>
              </m:r>
            </m:oMath>
            <w:r>
              <w:t xml:space="preserve">20.22</w:t>
            </w:r>
          </w:p>
        </w:tc>
      </w:tr>
      <w:tr>
        <w:tc>
          <w:tcPr/>
          <w:p>
            <w:pPr>
              <w:pStyle w:val="Compact"/>
            </w:pPr>
            <w:r>
              <w:t xml:space="preserve">FY2026 adjusted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23.85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24.15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Raised from</w:t>
            </w:r>
            <w:r>
              <w:t xml:space="preserve"> </w:t>
            </w:r>
            <m:oMath>
              <m:r>
                <m:t>23.45</m:t>
              </m:r>
              <m:r>
                <m:rPr>
                  <m:sty m:val="p"/>
                </m:rPr>
                <m:t>–</m:t>
              </m:r>
            </m:oMath>
            <w:r>
              <w:t xml:space="preserve">23.85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2026 revenue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$1.560 billion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+7.6% year over year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adjusted operating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22.6%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22.0% a year earlier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free cash flow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$204 million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$225 million a year earlier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remaining performance obligations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$4.87 billion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71% expected within 12 months</w:t>
            </w:r>
          </w:p>
        </w:tc>
      </w:tr>
    </w:tbl>
    <w:p>
      <w:pPr>
        <w:pStyle w:val="BodyText"/>
      </w:pPr>
      <w:r>
        <w:t xml:space="preserve">The midpoint of Q2 adjusted EPS guidance,</w:t>
      </w:r>
      <w:r>
        <w:t xml:space="preserve"> </w:t>
      </w:r>
      <w:r>
        <w:rPr>
          <w:b/>
          <w:bCs/>
        </w:rPr>
        <w:t xml:space="preserve">$5.75</w:t>
      </w:r>
      <w:r>
        <w:t xml:space="preserve">, implies approximately</w:t>
      </w:r>
      <w:r>
        <w:t xml:space="preserve"> </w:t>
      </w:r>
      <w:r>
        <w:rPr>
          <w:b/>
          <w:bCs/>
        </w:rPr>
        <w:t xml:space="preserve">11% year-over-year growth</w:t>
      </w:r>
      <w:r>
        <w:t xml:space="preserve">. The midpoint of GAAP guidance implies roughly 9% growth.</w:t>
      </w:r>
    </w:p>
    <w:p>
      <w:pPr>
        <w:pStyle w:val="BodyText"/>
      </w:pPr>
      <w:r>
        <w:t xml:space="preserve">Teledyne does not provide quarterly revenue guidance, making segment growth, margins and orders especially important to interpreting the headline EPS result.</w:t>
      </w:r>
    </w:p>
    <w:p>
      <w:r>
        <w:pict>
          <v:rect style="width:0;height:1.5pt" o:hralign="center" o:hrstd="t" o:hr="t"/>
        </w:pict>
      </w:r>
    </w:p>
    <w:bookmarkEnd w:id="10"/>
    <w:bookmarkStart w:id="15" w:name="what-matters-most"/>
    <w:p>
      <w:pPr>
        <w:pStyle w:val="Heading2"/>
      </w:pPr>
      <w:r>
        <w:t xml:space="preserve">What matters most</w:t>
      </w:r>
    </w:p>
    <w:bookmarkStart w:id="11" w:name="X750838b0cba11cedeb7110f56a5026481bb772e"/>
    <w:p>
      <w:pPr>
        <w:pStyle w:val="Heading3"/>
      </w:pPr>
      <w:r>
        <w:t xml:space="preserve">1. Digital Imaging: the primary earnings driver</w:t>
      </w:r>
    </w:p>
    <w:p>
      <w:pPr>
        <w:pStyle w:val="FirstParagraph"/>
      </w:pPr>
      <w:r>
        <w:t xml:space="preserve">Digital Imaging represented more than half of Q1 revenue and delivered:</w:t>
      </w:r>
    </w:p>
    <w:p>
      <w:pPr>
        <w:pStyle w:val="Compact"/>
        <w:numPr>
          <w:ilvl w:val="0"/>
          <w:numId w:val="1002"/>
        </w:numPr>
      </w:pPr>
      <w:r>
        <w:t xml:space="preserve">Revenue of</w:t>
      </w:r>
      <w:r>
        <w:t xml:space="preserve"> </w:t>
      </w:r>
      <w:r>
        <w:rPr>
          <w:b/>
          <w:bCs/>
        </w:rPr>
        <w:t xml:space="preserve">$816.9 million</w:t>
      </w:r>
      <w:r>
        <w:t xml:space="preserve">, up 7.9%.</w:t>
      </w:r>
    </w:p>
    <w:p>
      <w:pPr>
        <w:pStyle w:val="Compact"/>
        <w:numPr>
          <w:ilvl w:val="0"/>
          <w:numId w:val="1002"/>
        </w:numPr>
      </w:pPr>
      <w:r>
        <w:t xml:space="preserve">GAAP segment margin of</w:t>
      </w:r>
      <w:r>
        <w:t xml:space="preserve"> </w:t>
      </w:r>
      <w:r>
        <w:rPr>
          <w:b/>
          <w:bCs/>
        </w:rPr>
        <w:t xml:space="preserve">17.3%</w:t>
      </w:r>
      <w:r>
        <w:t xml:space="preserve">, versus 16.2% a year earlier.</w:t>
      </w:r>
    </w:p>
    <w:p>
      <w:pPr>
        <w:pStyle w:val="Compact"/>
        <w:numPr>
          <w:ilvl w:val="0"/>
          <w:numId w:val="1002"/>
        </w:numPr>
      </w:pPr>
      <w:r>
        <w:t xml:space="preserve">Adjusted segment operating income growth of 13.1%.</w:t>
      </w:r>
    </w:p>
    <w:p>
      <w:pPr>
        <w:pStyle w:val="FirstParagraph"/>
      </w:pPr>
      <w:r>
        <w:t xml:space="preserve">Growth was led by infrared detectors and subsystems, surveillance products, and unmanned aircraft systems. Industrial imaging and X-ray also returned to year-over-year growth, broadening the improvement beyond defense.</w:t>
      </w:r>
    </w:p>
    <w:p>
      <w:pPr>
        <w:pStyle w:val="BodyText"/>
      </w:pPr>
      <w:r>
        <w:t xml:space="preserve">The segment is the most important swing factor because it combines Teledyne FLIR’s defense exposure with shorter-cycle industrial and scientific imaging businesses. A strong report would include:</w:t>
      </w:r>
    </w:p>
    <w:p>
      <w:pPr>
        <w:pStyle w:val="Compact"/>
        <w:numPr>
          <w:ilvl w:val="0"/>
          <w:numId w:val="1003"/>
        </w:numPr>
      </w:pPr>
      <w:r>
        <w:t xml:space="preserve">Continued growth in infrared detectors and defense surveillance.</w:t>
      </w:r>
    </w:p>
    <w:p>
      <w:pPr>
        <w:pStyle w:val="Compact"/>
        <w:numPr>
          <w:ilvl w:val="0"/>
          <w:numId w:val="1003"/>
        </w:numPr>
      </w:pPr>
      <w:r>
        <w:t xml:space="preserve">Healthy unmanned-air-system demand and backlog.</w:t>
      </w:r>
    </w:p>
    <w:p>
      <w:pPr>
        <w:pStyle w:val="Compact"/>
        <w:numPr>
          <w:ilvl w:val="0"/>
          <w:numId w:val="1003"/>
        </w:numPr>
      </w:pPr>
      <w:r>
        <w:t xml:space="preserve">Further recovery in industrial imaging and X-ray.</w:t>
      </w:r>
    </w:p>
    <w:p>
      <w:pPr>
        <w:pStyle w:val="Compact"/>
        <w:numPr>
          <w:ilvl w:val="0"/>
          <w:numId w:val="1003"/>
        </w:numPr>
      </w:pPr>
      <w:r>
        <w:t xml:space="preserve">Stable or improving margins despite elevated product-development spending.</w:t>
      </w:r>
    </w:p>
    <w:p>
      <w:pPr>
        <w:pStyle w:val="FirstParagraph"/>
      </w:pPr>
      <w:r>
        <w:t xml:space="preserve">Q1 Digital Imaging R&amp;D increased nearly 19% year over year. That spending is strategically sensible given opportunities in defense, space and autonomous systems, but investors will want growth and mix to offset it.</w:t>
      </w:r>
    </w:p>
    <w:p>
      <w:pPr>
        <w:pStyle w:val="BodyText"/>
      </w:pPr>
      <w:r>
        <w:rPr>
          <w:b/>
          <w:bCs/>
        </w:rPr>
        <w:t xml:space="preserve">Potential concern:</w:t>
      </w:r>
      <w:r>
        <w:t xml:space="preserve"> </w:t>
      </w:r>
      <w:r>
        <w:t xml:space="preserve">Q1 benefited from $8 million of acquisition revenue and $8.6 million of favorable contract-estimate changes at the company level, primarily in Digital Imaging. Investors should distinguish underlying margin improvement from favorable quarterly accounting adjustments.</w:t>
      </w:r>
    </w:p>
    <w:p>
      <w:r>
        <w:pict>
          <v:rect style="width:0;height:1.5pt" o:hralign="center" o:hrstd="t" o:hr="t"/>
        </w:pict>
      </w:r>
    </w:p>
    <w:bookmarkEnd w:id="11"/>
    <w:bookmarkStart w:id="12" w:name="X54a12477a78c69d2ecbfa89e4914d8c99f6765e"/>
    <w:p>
      <w:pPr>
        <w:pStyle w:val="Heading3"/>
      </w:pPr>
      <w:r>
        <w:t xml:space="preserve">2. Instrumentation: watch the margin, not just revenue</w:t>
      </w:r>
    </w:p>
    <w:p>
      <w:pPr>
        <w:pStyle w:val="FirstParagraph"/>
      </w:pPr>
      <w:r>
        <w:t xml:space="preserve">Instrumentation’s Q1 revenue rose 5.3%, supported by:</w:t>
      </w:r>
    </w:p>
    <w:p>
      <w:pPr>
        <w:pStyle w:val="Compact"/>
        <w:numPr>
          <w:ilvl w:val="0"/>
          <w:numId w:val="1004"/>
        </w:numPr>
      </w:pPr>
      <w:r>
        <w:t xml:space="preserve">Stronger offshore-energy and defense demand in marine instrumentation.</w:t>
      </w:r>
    </w:p>
    <w:p>
      <w:pPr>
        <w:pStyle w:val="Compact"/>
        <w:numPr>
          <w:ilvl w:val="0"/>
          <w:numId w:val="1004"/>
        </w:numPr>
      </w:pPr>
      <w:r>
        <w:t xml:space="preserve">Higher gas-detection sales.</w:t>
      </w:r>
    </w:p>
    <w:p>
      <w:pPr>
        <w:pStyle w:val="Compact"/>
        <w:numPr>
          <w:ilvl w:val="0"/>
          <w:numId w:val="1004"/>
        </w:numPr>
      </w:pPr>
      <w:r>
        <w:t xml:space="preserve">A modest contribution from the DD-Scientific acquisition.</w:t>
      </w:r>
    </w:p>
    <w:p>
      <w:pPr>
        <w:pStyle w:val="FirstParagraph"/>
      </w:pPr>
      <w:r>
        <w:t xml:space="preserve">However, segment operating income declined 4.6%, and the GAAP margin fell to</w:t>
      </w:r>
      <w:r>
        <w:t xml:space="preserve"> </w:t>
      </w:r>
      <w:r>
        <w:rPr>
          <w:b/>
          <w:bCs/>
        </w:rPr>
        <w:t xml:space="preserve">24.5% from 27.0%</w:t>
      </w:r>
      <w:r>
        <w:t xml:space="preserve">, primarily because of unfavorable product mix.</w:t>
      </w:r>
    </w:p>
    <w:p>
      <w:pPr>
        <w:pStyle w:val="BodyText"/>
      </w:pPr>
      <w:r>
        <w:t xml:space="preserve">This is the clearest area where Q2 can either strengthen or weaken the quality of the report. Q2 is historically a stronger quarter for the segment: Instrumentation generated a 27.6% GAAP margin in Q2 2025.</w:t>
      </w:r>
    </w:p>
    <w:p>
      <w:pPr>
        <w:pStyle w:val="BodyText"/>
      </w:pPr>
      <w:r>
        <w:t xml:space="preserve">Investors should look for:</w:t>
      </w:r>
    </w:p>
    <w:p>
      <w:pPr>
        <w:pStyle w:val="Compact"/>
        <w:numPr>
          <w:ilvl w:val="0"/>
          <w:numId w:val="1005"/>
        </w:numPr>
      </w:pPr>
      <w:r>
        <w:t xml:space="preserve">A sequential rebound in marine-instrumentation mix.</w:t>
      </w:r>
    </w:p>
    <w:p>
      <w:pPr>
        <w:pStyle w:val="Compact"/>
        <w:numPr>
          <w:ilvl w:val="0"/>
          <w:numId w:val="1005"/>
        </w:numPr>
      </w:pPr>
      <w:r>
        <w:t xml:space="preserve">Continued demand for autonomous underwater vehicles and offshore-energy products.</w:t>
      </w:r>
    </w:p>
    <w:p>
      <w:pPr>
        <w:pStyle w:val="Compact"/>
        <w:numPr>
          <w:ilvl w:val="0"/>
          <w:numId w:val="1005"/>
        </w:numPr>
      </w:pPr>
      <w:r>
        <w:t xml:space="preserve">Sustained environmental-instrumentation growth.</w:t>
      </w:r>
    </w:p>
    <w:p>
      <w:pPr>
        <w:pStyle w:val="Compact"/>
        <w:numPr>
          <w:ilvl w:val="0"/>
          <w:numId w:val="1005"/>
        </w:numPr>
      </w:pPr>
      <w:r>
        <w:t xml:space="preserve">Stabilization in electronic test and measurement, which declined in Q1.</w:t>
      </w:r>
    </w:p>
    <w:p>
      <w:pPr>
        <w:pStyle w:val="Compact"/>
        <w:numPr>
          <w:ilvl w:val="0"/>
          <w:numId w:val="1005"/>
        </w:numPr>
      </w:pPr>
      <w:r>
        <w:t xml:space="preserve">Early evidence that DD-Scientific can be integrated without margin dilution.</w:t>
      </w:r>
    </w:p>
    <w:p>
      <w:pPr>
        <w:pStyle w:val="FirstParagraph"/>
      </w:pPr>
      <w:r>
        <w:t xml:space="preserve">A revenue beat accompanied by another weak margin would be less encouraging than moderate growth with a clear return toward historical profitability.</w:t>
      </w:r>
    </w:p>
    <w:p>
      <w:r>
        <w:pict>
          <v:rect style="width:0;height:1.5pt" o:hralign="center" o:hrstd="t" o:hr="t"/>
        </w:pict>
      </w:r>
    </w:p>
    <w:bookmarkEnd w:id="12"/>
    <w:bookmarkStart w:id="13" w:name="X1132e1576198d12243316c6dffb693687d9036d"/>
    <w:p>
      <w:pPr>
        <w:pStyle w:val="Heading3"/>
      </w:pPr>
      <w:r>
        <w:t xml:space="preserve">3. Aerospace and Defense Electronics: organic growth becomes more important</w:t>
      </w:r>
    </w:p>
    <w:p>
      <w:pPr>
        <w:pStyle w:val="FirstParagraph"/>
      </w:pPr>
      <w:r>
        <w:t xml:space="preserve">Q1 was excellent:</w:t>
      </w:r>
    </w:p>
    <w:p>
      <w:pPr>
        <w:pStyle w:val="Compact"/>
        <w:numPr>
          <w:ilvl w:val="0"/>
          <w:numId w:val="1006"/>
        </w:numPr>
      </w:pPr>
      <w:r>
        <w:t xml:space="preserve">Revenue rose</w:t>
      </w:r>
      <w:r>
        <w:t xml:space="preserve"> </w:t>
      </w:r>
      <w:r>
        <w:rPr>
          <w:b/>
          <w:bCs/>
        </w:rPr>
        <w:t xml:space="preserve">14.4%</w:t>
      </w:r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Operating income increased</w:t>
      </w:r>
      <w:r>
        <w:t xml:space="preserve"> </w:t>
      </w:r>
      <w:r>
        <w:rPr>
          <w:b/>
          <w:bCs/>
        </w:rPr>
        <w:t xml:space="preserve">28.2%</w:t>
      </w:r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Segment margin expanded to</w:t>
      </w:r>
      <w:r>
        <w:t xml:space="preserve"> </w:t>
      </w:r>
      <w:r>
        <w:rPr>
          <w:b/>
          <w:bCs/>
        </w:rPr>
        <w:t xml:space="preserve">25.7% from 23.0%</w:t>
      </w:r>
      <w:r>
        <w:t xml:space="preserve">.</w:t>
      </w:r>
    </w:p>
    <w:p>
      <w:pPr>
        <w:pStyle w:val="FirstParagraph"/>
      </w:pPr>
      <w:r>
        <w:t xml:space="preserve">But $20.3 million of Q1 revenue came from acquisitions, principally the Qioptiq and Micropac businesses acquired in early 2025. Because Q2 2025 already included a full quarter of those businesses, Q2 2026 faces a more comparable acquisition base.</w:t>
      </w:r>
    </w:p>
    <w:p>
      <w:pPr>
        <w:pStyle w:val="BodyText"/>
      </w:pPr>
      <w:r>
        <w:t xml:space="preserve">That makes this quarter an important test of underlying demand. Positive signals would include:</w:t>
      </w:r>
    </w:p>
    <w:p>
      <w:pPr>
        <w:pStyle w:val="Compact"/>
        <w:numPr>
          <w:ilvl w:val="0"/>
          <w:numId w:val="1007"/>
        </w:numPr>
      </w:pPr>
      <w:r>
        <w:t xml:space="preserve">Organic defense-electronics growth after acquisition benefits normalize.</w:t>
      </w:r>
    </w:p>
    <w:p>
      <w:pPr>
        <w:pStyle w:val="Compact"/>
        <w:numPr>
          <w:ilvl w:val="0"/>
          <w:numId w:val="1007"/>
        </w:numPr>
      </w:pPr>
      <w:r>
        <w:t xml:space="preserve">Continued favorable mix and mid-20% segment margins.</w:t>
      </w:r>
    </w:p>
    <w:p>
      <w:pPr>
        <w:pStyle w:val="Compact"/>
        <w:numPr>
          <w:ilvl w:val="0"/>
          <w:numId w:val="1007"/>
        </w:numPr>
      </w:pPr>
      <w:r>
        <w:t xml:space="preserve">Progress in space-based infrared detectors, loitering munitions and other defense programs.</w:t>
      </w:r>
    </w:p>
    <w:p>
      <w:pPr>
        <w:pStyle w:val="Compact"/>
        <w:numPr>
          <w:ilvl w:val="0"/>
          <w:numId w:val="1007"/>
        </w:numPr>
      </w:pPr>
      <w:r>
        <w:t xml:space="preserve">Stable commercial-aerospace sales.</w:t>
      </w:r>
    </w:p>
    <w:p>
      <w:pPr>
        <w:pStyle w:val="FirstParagraph"/>
      </w:pPr>
      <w:r>
        <w:t xml:space="preserve">Management previously said defense businesses were benefiting from higher global spending and that Teledyne had been selected by a majority of prime contractors for the Space Development Agency’s Tranche 3 Tracking Layer. Commentary on production timing and follow-on opportunities could be more important than the quarter’s revenue alone.</w:t>
      </w:r>
    </w:p>
    <w:p>
      <w:r>
        <w:pict>
          <v:rect style="width:0;height:1.5pt" o:hralign="center" o:hrstd="t" o:hr="t"/>
        </w:pict>
      </w:r>
    </w:p>
    <w:bookmarkEnd w:id="13"/>
    <w:bookmarkStart w:id="14" w:name="X8744b7d538639d7bc720b6ab1658f9baf1b4790"/>
    <w:p>
      <w:pPr>
        <w:pStyle w:val="Heading3"/>
      </w:pPr>
      <w:r>
        <w:t xml:space="preserve">4. Orders and backlog may matter more than the revenue beat</w:t>
      </w:r>
    </w:p>
    <w:p>
      <w:pPr>
        <w:pStyle w:val="FirstParagraph"/>
      </w:pPr>
      <w:r>
        <w:t xml:space="preserve">At the end of Q1, Teledyne reported</w:t>
      </w:r>
      <w:r>
        <w:t xml:space="preserve"> </w:t>
      </w:r>
      <w:r>
        <w:rPr>
          <w:b/>
          <w:bCs/>
        </w:rPr>
        <w:t xml:space="preserve">$4.87 billion of remaining performance obligations</w:t>
      </w:r>
      <w:r>
        <w:t xml:space="preserve">, with approximately 71% expected to convert to revenue over the following 12 months. The company also exited 2025 with record orders and strong FLIR backlog growth.</w:t>
      </w:r>
    </w:p>
    <w:p>
      <w:pPr>
        <w:pStyle w:val="BodyText"/>
      </w:pPr>
      <w:r>
        <w:t xml:space="preserve">Investors should focus on:</w:t>
      </w:r>
    </w:p>
    <w:p>
      <w:pPr>
        <w:pStyle w:val="Compact"/>
        <w:numPr>
          <w:ilvl w:val="0"/>
          <w:numId w:val="1008"/>
        </w:numPr>
      </w:pPr>
      <w:r>
        <w:t xml:space="preserve">Whether orders again exceed sales.</w:t>
      </w:r>
    </w:p>
    <w:p>
      <w:pPr>
        <w:pStyle w:val="Compact"/>
        <w:numPr>
          <w:ilvl w:val="0"/>
          <w:numId w:val="1008"/>
        </w:numPr>
      </w:pPr>
      <w:r>
        <w:t xml:space="preserve">Book-to-bill trends in Digital Imaging and defense electronics.</w:t>
      </w:r>
    </w:p>
    <w:p>
      <w:pPr>
        <w:pStyle w:val="Compact"/>
        <w:numPr>
          <w:ilvl w:val="0"/>
          <w:numId w:val="1008"/>
        </w:numPr>
      </w:pPr>
      <w:r>
        <w:t xml:space="preserve">Timing of large government awards.</w:t>
      </w:r>
    </w:p>
    <w:p>
      <w:pPr>
        <w:pStyle w:val="Compact"/>
        <w:numPr>
          <w:ilvl w:val="0"/>
          <w:numId w:val="1008"/>
        </w:numPr>
      </w:pPr>
      <w:r>
        <w:t xml:space="preserve">Whether supply-chain or export-license issues are delaying shipments.</w:t>
      </w:r>
    </w:p>
    <w:p>
      <w:pPr>
        <w:pStyle w:val="Compact"/>
        <w:numPr>
          <w:ilvl w:val="0"/>
          <w:numId w:val="1008"/>
        </w:numPr>
      </w:pPr>
      <w:r>
        <w:t xml:space="preserve">The composition of backlog between longer-cycle defense programs and shorter-cycle commercial products.</w:t>
      </w:r>
    </w:p>
    <w:p>
      <w:pPr>
        <w:pStyle w:val="FirstParagraph"/>
      </w:pPr>
      <w:r>
        <w:t xml:space="preserve">A modest headline beat with accelerating orders could support the longer-term thesis. Conversely, a strong revenue number caused by backlog conversion but accompanied by weaker orders would deserve more caution.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8" w:name="margin-and-cash-flow-checklist"/>
    <w:p>
      <w:pPr>
        <w:pStyle w:val="Heading2"/>
      </w:pPr>
      <w:r>
        <w:t xml:space="preserve">Margin and cash-flow checklist</w:t>
      </w:r>
    </w:p>
    <w:bookmarkStart w:id="16" w:name="operating-margin"/>
    <w:p>
      <w:pPr>
        <w:pStyle w:val="Heading3"/>
      </w:pPr>
      <w:r>
        <w:t xml:space="preserve">Operating margin</w:t>
      </w:r>
    </w:p>
    <w:p>
      <w:pPr>
        <w:pStyle w:val="FirstParagraph"/>
      </w:pPr>
      <w:r>
        <w:t xml:space="preserve">Q1 adjusted operating margin rose 60 basis points to</w:t>
      </w:r>
      <w:r>
        <w:t xml:space="preserve"> </w:t>
      </w:r>
      <w:r>
        <w:rPr>
          <w:b/>
          <w:bCs/>
        </w:rPr>
        <w:t xml:space="preserve">22.6%</w:t>
      </w:r>
      <w:r>
        <w:t xml:space="preserve">, despite higher R&amp;D expense. The Q2 2025 comparison is an adjusted margin of</w:t>
      </w:r>
      <w:r>
        <w:t xml:space="preserve"> </w:t>
      </w:r>
      <w:r>
        <w:rPr>
          <w:b/>
          <w:bCs/>
        </w:rPr>
        <w:t xml:space="preserve">22.2%</w:t>
      </w:r>
      <w:r>
        <w:t xml:space="preserve">.</w:t>
      </w:r>
    </w:p>
    <w:p>
      <w:pPr>
        <w:pStyle w:val="BodyText"/>
      </w:pPr>
      <w:r>
        <w:t xml:space="preserve">A high-quality report would likely show:</w:t>
      </w:r>
    </w:p>
    <w:p>
      <w:pPr>
        <w:pStyle w:val="Compact"/>
        <w:numPr>
          <w:ilvl w:val="0"/>
          <w:numId w:val="1009"/>
        </w:numPr>
      </w:pPr>
      <w:r>
        <w:t xml:space="preserve">Continued consolidated adjusted-margin expansion.</w:t>
      </w:r>
    </w:p>
    <w:p>
      <w:pPr>
        <w:pStyle w:val="Compact"/>
        <w:numPr>
          <w:ilvl w:val="0"/>
          <w:numId w:val="1009"/>
        </w:numPr>
      </w:pPr>
      <w:r>
        <w:t xml:space="preserve">Digital Imaging margins holding up despite R&amp;D.</w:t>
      </w:r>
    </w:p>
    <w:p>
      <w:pPr>
        <w:pStyle w:val="Compact"/>
        <w:numPr>
          <w:ilvl w:val="0"/>
          <w:numId w:val="1009"/>
        </w:numPr>
      </w:pPr>
      <w:r>
        <w:t xml:space="preserve">A meaningful Instrumentation-margin recovery.</w:t>
      </w:r>
    </w:p>
    <w:p>
      <w:pPr>
        <w:pStyle w:val="Compact"/>
        <w:numPr>
          <w:ilvl w:val="0"/>
          <w:numId w:val="1009"/>
        </w:numPr>
      </w:pPr>
      <w:r>
        <w:t xml:space="preserve">Aerospace and Defense Electronics maintaining favorable mix.</w:t>
      </w:r>
    </w:p>
    <w:p>
      <w:pPr>
        <w:pStyle w:val="Compact"/>
        <w:numPr>
          <w:ilvl w:val="0"/>
          <w:numId w:val="1009"/>
        </w:numPr>
      </w:pPr>
      <w:r>
        <w:t xml:space="preserve">Corporate costs remaining controlled.</w:t>
      </w:r>
    </w:p>
    <w:p>
      <w:pPr>
        <w:pStyle w:val="FirstParagraph"/>
      </w:pPr>
      <w:r>
        <w:t xml:space="preserve">Teledyne has a consistent history of turning mid-single-digit organic growth into faster EPS growth through mix, operational discipline, lower interest expense and capital deployment. Preservation of that algorithm is central to the stock’s premium valuation.</w:t>
      </w:r>
    </w:p>
    <w:bookmarkEnd w:id="16"/>
    <w:bookmarkStart w:id="17" w:name="free-cash-flow-and-working-capital"/>
    <w:p>
      <w:pPr>
        <w:pStyle w:val="Heading3"/>
      </w:pPr>
      <w:r>
        <w:t xml:space="preserve">Free cash flow and working capital</w:t>
      </w:r>
    </w:p>
    <w:p>
      <w:pPr>
        <w:pStyle w:val="FirstParagraph"/>
      </w:pPr>
      <w:r>
        <w:t xml:space="preserve">Q1 free cash flow declined to</w:t>
      </w:r>
      <w:r>
        <w:t xml:space="preserve"> </w:t>
      </w:r>
      <w:r>
        <w:rPr>
          <w:b/>
          <w:bCs/>
        </w:rPr>
        <w:t xml:space="preserve">$204 million from</w:t>
      </w:r>
      <w:r>
        <w:rPr>
          <w:b/>
          <w:bCs/>
        </w:rPr>
        <w:t xml:space="preserve"> </w:t>
      </w:r>
      <m:oMath>
        <m:r>
          <m:t>225</m:t>
        </m:r>
        <m:r>
          <m:t>m</m:t>
        </m:r>
        <m:r>
          <m:t>i</m:t>
        </m:r>
        <m:r>
          <m:t>l</m:t>
        </m:r>
        <m:r>
          <m:t>l</m:t>
        </m:r>
        <m:r>
          <m:t>i</m:t>
        </m:r>
        <m:r>
          <m:t>o</m:t>
        </m:r>
        <m:r>
          <m:t>n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rPr>
            <m:sty m:val="p"/>
          </m:rPr>
          <m:t>,</m:t>
        </m:r>
        <m:r>
          <m:t>d</m:t>
        </m:r>
        <m:r>
          <m:t>e</m:t>
        </m:r>
        <m:r>
          <m:t>s</m:t>
        </m:r>
        <m:r>
          <m:t>p</m:t>
        </m:r>
        <m:r>
          <m:t>i</m:t>
        </m:r>
        <m:r>
          <m:t>t</m:t>
        </m:r>
        <m:r>
          <m:t>e</m:t>
        </m:r>
        <m:r>
          <m:t>s</m:t>
        </m:r>
        <m:r>
          <m:t>t</m:t>
        </m:r>
        <m:r>
          <m:t>r</m:t>
        </m:r>
        <m:r>
          <m:t>o</m:t>
        </m:r>
        <m:r>
          <m:t>n</m:t>
        </m:r>
        <m:r>
          <m:t>g</m:t>
        </m:r>
        <m:r>
          <m:t>e</m:t>
        </m:r>
        <m:r>
          <m:t>r</m:t>
        </m:r>
        <m:r>
          <m:t>e</m:t>
        </m:r>
        <m:r>
          <m:t>a</m:t>
        </m:r>
        <m:r>
          <m:t>r</m:t>
        </m:r>
        <m:r>
          <m:t>n</m:t>
        </m:r>
        <m:r>
          <m:t>i</m:t>
        </m:r>
        <m:r>
          <m:t>n</m:t>
        </m:r>
        <m:r>
          <m:t>g</m:t>
        </m:r>
        <m:r>
          <m:t>s</m:t>
        </m:r>
        <m:r>
          <m:rPr>
            <m:sty m:val="p"/>
          </m:rPr>
          <m:t>,</m:t>
        </m:r>
        <m:r>
          <m:t>b</m:t>
        </m:r>
        <m:r>
          <m:t>e</m:t>
        </m:r>
        <m:r>
          <m:t>c</m:t>
        </m:r>
        <m:r>
          <m:t>a</m:t>
        </m:r>
        <m:r>
          <m:t>u</m:t>
        </m:r>
        <m:r>
          <m:t>s</m:t>
        </m:r>
        <m:r>
          <m:t>e</m:t>
        </m:r>
        <m:r>
          <m:t>o</m:t>
        </m:r>
        <m:r>
          <m:t>f</m:t>
        </m:r>
        <m:r>
          <m:t>h</m:t>
        </m:r>
        <m:r>
          <m:t>i</m:t>
        </m:r>
        <m:r>
          <m:t>g</m:t>
        </m:r>
        <m:r>
          <m:t>h</m:t>
        </m:r>
        <m:r>
          <m:t>e</m:t>
        </m:r>
        <m:r>
          <m:t>r</m:t>
        </m:r>
        <m:r>
          <m:t>i</m:t>
        </m:r>
        <m:r>
          <m:t>n</m:t>
        </m:r>
        <m:r>
          <m:t>v</m:t>
        </m:r>
        <m:r>
          <m:t>e</m:t>
        </m:r>
        <m:r>
          <m:t>n</m:t>
        </m:r>
        <m:r>
          <m:t>t</m:t>
        </m:r>
        <m:r>
          <m:t>o</m:t>
        </m:r>
        <m:r>
          <m:t>r</m:t>
        </m:r>
        <m:r>
          <m:t>y</m:t>
        </m:r>
        <m:r>
          <m:t>p</m:t>
        </m:r>
        <m:r>
          <m:t>u</m:t>
        </m:r>
        <m:r>
          <m:t>r</m:t>
        </m:r>
        <m:r>
          <m:t>c</m:t>
        </m:r>
        <m:r>
          <m:t>h</m:t>
        </m:r>
        <m:r>
          <m:t>a</m:t>
        </m:r>
        <m:r>
          <m:t>s</m:t>
        </m:r>
        <m:r>
          <m:t>e</m:t>
        </m:r>
        <m:r>
          <m:t>s</m:t>
        </m:r>
        <m:r>
          <m:t>a</m:t>
        </m:r>
        <m:r>
          <m:t>n</m:t>
        </m:r>
        <m:r>
          <m:t>d</m:t>
        </m:r>
        <m:r>
          <m:t>i</m:t>
        </m:r>
        <m:r>
          <m:t>n</m:t>
        </m:r>
        <m:r>
          <m:t>c</m:t>
        </m:r>
        <m:r>
          <m:t>r</m:t>
        </m:r>
        <m:r>
          <m:t>e</m:t>
        </m:r>
        <m:r>
          <m:t>a</m:t>
        </m:r>
        <m:r>
          <m:t>s</m:t>
        </m:r>
        <m:r>
          <m:t>e</m:t>
        </m:r>
        <m:r>
          <m:t>d</m:t>
        </m:r>
        <m:r>
          <m:t>c</m:t>
        </m:r>
        <m:r>
          <m:t>a</m:t>
        </m:r>
        <m:r>
          <m:t>p</m:t>
        </m:r>
        <m:r>
          <m:t>i</m:t>
        </m:r>
        <m:r>
          <m:t>t</m:t>
        </m:r>
        <m:r>
          <m:t>a</m:t>
        </m:r>
        <m:r>
          <m:t>l</m:t>
        </m:r>
        <m:r>
          <m:t>e</m:t>
        </m:r>
        <m:r>
          <m:t>x</m:t>
        </m:r>
        <m:r>
          <m:t>p</m:t>
        </m:r>
        <m:r>
          <m:t>e</m:t>
        </m:r>
        <m:r>
          <m:t>n</m:t>
        </m:r>
        <m:r>
          <m:t>d</m:t>
        </m:r>
        <m:r>
          <m:t>i</m:t>
        </m:r>
        <m:r>
          <m:t>t</m:t>
        </m:r>
        <m:r>
          <m:t>u</m:t>
        </m:r>
        <m:r>
          <m:t>r</m:t>
        </m:r>
        <m:r>
          <m:t>e</m:t>
        </m:r>
        <m:r>
          <m:t>s</m:t>
        </m:r>
        <m:r>
          <m:rPr>
            <m:sty m:val="p"/>
          </m:rPr>
          <m:t>.</m:t>
        </m:r>
        <m:r>
          <m:t>I</m:t>
        </m:r>
        <m:r>
          <m:t>n</m:t>
        </m:r>
        <m:r>
          <m:t>v</m:t>
        </m:r>
        <m:r>
          <m:t>e</m:t>
        </m:r>
        <m:r>
          <m:t>n</m:t>
        </m:r>
        <m:r>
          <m:t>t</m:t>
        </m:r>
        <m:r>
          <m:t>o</m:t>
        </m:r>
        <m:r>
          <m:t>r</m:t>
        </m:r>
        <m:r>
          <m:t>y</m:t>
        </m:r>
        <m:r>
          <m:t>r</m:t>
        </m:r>
        <m:r>
          <m:t>o</m:t>
        </m:r>
        <m:r>
          <m:t>s</m:t>
        </m:r>
        <m:r>
          <m:t>e</m:t>
        </m:r>
        <m:r>
          <m:t>n</m:t>
        </m:r>
        <m:r>
          <m:t>e</m:t>
        </m:r>
        <m:r>
          <m:t>a</m:t>
        </m:r>
        <m:r>
          <m:t>r</m:t>
        </m:r>
        <m:r>
          <m:t>l</m:t>
        </m:r>
        <m:r>
          <m:t>y</m:t>
        </m:r>
        <m:r>
          <m:t>8</m:t>
        </m:r>
      </m:oMath>
      <w:r>
        <w:rPr>
          <w:b/>
          <w:bCs/>
        </w:rPr>
        <w:t xml:space="preserve">1.12 billion</w:t>
      </w:r>
      <w:r>
        <w:t xml:space="preserve">.</w:t>
      </w:r>
    </w:p>
    <w:p>
      <w:pPr>
        <w:pStyle w:val="BodyText"/>
      </w:pPr>
      <w:r>
        <w:t xml:space="preserve">That inventory build could be constructive if it supports higher second-half shipments, but investors should look for:</w:t>
      </w:r>
    </w:p>
    <w:p>
      <w:pPr>
        <w:pStyle w:val="Compact"/>
        <w:numPr>
          <w:ilvl w:val="0"/>
          <w:numId w:val="1010"/>
        </w:numPr>
      </w:pPr>
      <w:r>
        <w:t xml:space="preserve">Better operating-cash-flow conversion.</w:t>
      </w:r>
    </w:p>
    <w:p>
      <w:pPr>
        <w:pStyle w:val="Compact"/>
        <w:numPr>
          <w:ilvl w:val="0"/>
          <w:numId w:val="1010"/>
        </w:numPr>
      </w:pPr>
      <w:r>
        <w:t xml:space="preserve">Evidence that inventory growth is slowing.</w:t>
      </w:r>
    </w:p>
    <w:p>
      <w:pPr>
        <w:pStyle w:val="Compact"/>
        <w:numPr>
          <w:ilvl w:val="0"/>
          <w:numId w:val="1010"/>
        </w:numPr>
      </w:pPr>
      <w:r>
        <w:t xml:space="preserve">Commentary connecting inventory to specific backlog or supply-chain needs.</w:t>
      </w:r>
    </w:p>
    <w:p>
      <w:pPr>
        <w:pStyle w:val="Compact"/>
        <w:numPr>
          <w:ilvl w:val="0"/>
          <w:numId w:val="1010"/>
        </w:numPr>
      </w:pPr>
      <w:r>
        <w:t xml:space="preserve">Progress toward the approximately</w:t>
      </w:r>
      <w:r>
        <w:t xml:space="preserve"> </w:t>
      </w:r>
      <w:r>
        <w:rPr>
          <w:b/>
          <w:bCs/>
        </w:rPr>
        <w:t xml:space="preserve">$150 million</w:t>
      </w:r>
      <w:r>
        <w:t xml:space="preserve"> </w:t>
      </w:r>
      <w:r>
        <w:t xml:space="preserve">full-year capital-spending plan.</w:t>
      </w:r>
    </w:p>
    <w:p>
      <w:pPr>
        <w:pStyle w:val="FirstParagraph"/>
      </w:pPr>
      <w:r>
        <w:t xml:space="preserve">Teledyne produced more than $1 billion of annual free cash flow in both 2024 and 2025. Investors will expect 2026 cash generation to remain consistent with that record.</w:t>
      </w:r>
    </w:p>
    <w:p>
      <w:r>
        <w:pict>
          <v:rect style="width:0;height:1.5pt" o:hralign="center" o:hrstd="t" o:hr="t"/>
        </w:pict>
      </w:r>
    </w:p>
    <w:bookmarkEnd w:id="17"/>
    <w:bookmarkEnd w:id="18"/>
    <w:bookmarkStart w:id="19" w:name="balance-sheet-and-capital-allocation"/>
    <w:p>
      <w:pPr>
        <w:pStyle w:val="Heading2"/>
      </w:pPr>
      <w:r>
        <w:t xml:space="preserve">Balance sheet and capital allocation</w:t>
      </w:r>
    </w:p>
    <w:p>
      <w:pPr>
        <w:pStyle w:val="FirstParagraph"/>
      </w:pPr>
      <w:r>
        <w:t xml:space="preserve">At the end of Q1, Teledyne had:</w:t>
      </w:r>
    </w:p>
    <w:p>
      <w:pPr>
        <w:pStyle w:val="Compact"/>
        <w:numPr>
          <w:ilvl w:val="0"/>
          <w:numId w:val="1011"/>
        </w:numPr>
      </w:pPr>
      <w:r>
        <w:t xml:space="preserve">Net debt of approximately</w:t>
      </w:r>
      <w:r>
        <w:t xml:space="preserve"> </w:t>
      </w:r>
      <w:r>
        <w:rPr>
          <w:b/>
          <w:bCs/>
        </w:rPr>
        <w:t xml:space="preserve">$1.95 billion</w:t>
      </w:r>
      <w:r>
        <w:t xml:space="preserve">.</w:t>
      </w:r>
    </w:p>
    <w:p>
      <w:pPr>
        <w:pStyle w:val="Compact"/>
        <w:numPr>
          <w:ilvl w:val="0"/>
          <w:numId w:val="1011"/>
        </w:numPr>
      </w:pPr>
      <w:r>
        <w:t xml:space="preserve">A consolidated leverage ratio of</w:t>
      </w:r>
      <w:r>
        <w:t xml:space="preserve"> </w:t>
      </w:r>
      <w:r>
        <w:rPr>
          <w:b/>
          <w:bCs/>
        </w:rPr>
        <w:t xml:space="preserve">1.3x</w:t>
      </w:r>
      <w:r>
        <w:t xml:space="preserve">.</w:t>
      </w:r>
    </w:p>
    <w:p>
      <w:pPr>
        <w:pStyle w:val="Compact"/>
        <w:numPr>
          <w:ilvl w:val="0"/>
          <w:numId w:val="1011"/>
        </w:numPr>
      </w:pPr>
      <w:r>
        <w:t xml:space="preserve">Roughly</w:t>
      </w:r>
      <w:r>
        <w:t xml:space="preserve"> </w:t>
      </w:r>
      <w:r>
        <w:rPr>
          <w:b/>
          <w:bCs/>
        </w:rPr>
        <w:t xml:space="preserve">$1.17 billion</w:t>
      </w:r>
      <w:r>
        <w:t xml:space="preserve"> </w:t>
      </w:r>
      <w:r>
        <w:t xml:space="preserve">available under its revolving credit facility.</w:t>
      </w:r>
    </w:p>
    <w:p>
      <w:pPr>
        <w:pStyle w:val="Compact"/>
        <w:numPr>
          <w:ilvl w:val="0"/>
          <w:numId w:val="1011"/>
        </w:numPr>
      </w:pPr>
      <w:r>
        <w:t xml:space="preserve">Approximately</w:t>
      </w:r>
      <w:r>
        <w:t xml:space="preserve"> </w:t>
      </w:r>
      <w:r>
        <w:rPr>
          <w:b/>
          <w:bCs/>
        </w:rPr>
        <w:t xml:space="preserve">$1.6 billion</w:t>
      </w:r>
      <w:r>
        <w:t xml:space="preserve"> </w:t>
      </w:r>
      <w:r>
        <w:t xml:space="preserve">remaining under its stock-repurchase authorization.</w:t>
      </w:r>
    </w:p>
    <w:p>
      <w:pPr>
        <w:pStyle w:val="FirstParagraph"/>
      </w:pPr>
      <w:r>
        <w:t xml:space="preserve">After quarter-end, the company repaid a</w:t>
      </w:r>
      <w:r>
        <w:t xml:space="preserve"> </w:t>
      </w:r>
      <w:r>
        <w:rPr>
          <w:b/>
          <w:bCs/>
        </w:rPr>
        <w:t xml:space="preserve">$450 million</w:t>
      </w:r>
      <w:r>
        <w:t xml:space="preserve"> </w:t>
      </w:r>
      <w:r>
        <w:t xml:space="preserve">debt maturity primarily with cash on hand. That should reduce future interest expense, though it also uses liquidity that could otherwise have funded acquisitions or repurchases.</w:t>
      </w:r>
    </w:p>
    <w:p>
      <w:pPr>
        <w:pStyle w:val="BodyText"/>
      </w:pPr>
      <w:r>
        <w:t xml:space="preserve">The capital-allocation discussion should address:</w:t>
      </w:r>
    </w:p>
    <w:p>
      <w:pPr>
        <w:pStyle w:val="Compact"/>
        <w:numPr>
          <w:ilvl w:val="0"/>
          <w:numId w:val="1012"/>
        </w:numPr>
      </w:pPr>
      <w:r>
        <w:t xml:space="preserve">Whether deleveraging remains the near-term priority.</w:t>
      </w:r>
    </w:p>
    <w:p>
      <w:pPr>
        <w:pStyle w:val="Compact"/>
        <w:numPr>
          <w:ilvl w:val="0"/>
          <w:numId w:val="1012"/>
        </w:numPr>
      </w:pPr>
      <w:r>
        <w:t xml:space="preserve">The acquisition pipeline following DD-Scientific.</w:t>
      </w:r>
    </w:p>
    <w:p>
      <w:pPr>
        <w:pStyle w:val="Compact"/>
        <w:numPr>
          <w:ilvl w:val="0"/>
          <w:numId w:val="1012"/>
        </w:numPr>
      </w:pPr>
      <w:r>
        <w:t xml:space="preserve">Teledyne’s willingness to repurchase shares near current valuation levels.</w:t>
      </w:r>
    </w:p>
    <w:p>
      <w:pPr>
        <w:pStyle w:val="Compact"/>
        <w:numPr>
          <w:ilvl w:val="0"/>
          <w:numId w:val="1012"/>
        </w:numPr>
      </w:pPr>
      <w:r>
        <w:t xml:space="preserve">Whether management sees better returns in internal investment, M&amp;A or buybacks.</w:t>
      </w:r>
    </w:p>
    <w:p>
      <w:pPr>
        <w:pStyle w:val="FirstParagraph"/>
      </w:pPr>
      <w:r>
        <w:t xml:space="preserve">At roughly 27x the full-year adjusted EPS midpoint, aggressive repurchases would be less obviously accretive than the $400 million purchased in Q4 2025 at an average price of approximately $508.</w:t>
      </w:r>
    </w:p>
    <w:p>
      <w:r>
        <w:pict>
          <v:rect style="width:0;height:1.5pt" o:hralign="center" o:hrstd="t" o:hr="t"/>
        </w:pict>
      </w:r>
    </w:p>
    <w:bookmarkEnd w:id="19"/>
    <w:bookmarkStart w:id="23" w:name="X9043f36ee587fe43ef0852bb4f7440d03731a8b"/>
    <w:p>
      <w:pPr>
        <w:pStyle w:val="Heading2"/>
      </w:pPr>
      <w:r>
        <w:t xml:space="preserve">Guidance: likely the biggest stock-moving item</w:t>
      </w:r>
    </w:p>
    <w:p>
      <w:pPr>
        <w:pStyle w:val="FirstParagraph"/>
      </w:pPr>
      <w:r>
        <w:t xml:space="preserve">The company has already raised its 2026 adjusted EPS range to</w:t>
      </w:r>
      <w:r>
        <w:t xml:space="preserve"> </w:t>
      </w:r>
      <m:oMath>
        <m:r>
          <m:t>23.85</m:t>
        </m:r>
        <m:r>
          <m:rPr>
            <m:sty m:val="p"/>
          </m:rPr>
          <m:t>–</m:t>
        </m:r>
      </m:oMath>
      <w:r>
        <w:rPr>
          <w:b/>
          <w:bCs/>
        </w:rPr>
        <w:t xml:space="preserve">24.15</w:t>
      </w:r>
      <w:r>
        <w:t xml:space="preserve">. Following Q1 adjusted EPS of</w:t>
      </w:r>
      <w:r>
        <w:t xml:space="preserve"> </w:t>
      </w:r>
      <m:oMath>
        <m:r>
          <m:t>5.80</m:t>
        </m:r>
        <m:r>
          <m:rPr>
            <m:sty m:val="p"/>
          </m:rPr>
          <m:t>,</m:t>
        </m:r>
        <m:r>
          <m:t>t</m:t>
        </m:r>
        <m:r>
          <m:t>h</m:t>
        </m:r>
        <m:r>
          <m:t>e</m:t>
        </m:r>
        <m:r>
          <m:t>m</m:t>
        </m:r>
        <m:r>
          <m:t>i</m:t>
        </m:r>
        <m:r>
          <m:t>d</m:t>
        </m:r>
        <m:r>
          <m:t>p</m:t>
        </m:r>
        <m:r>
          <m:t>o</m:t>
        </m:r>
        <m:r>
          <m:t>i</m:t>
        </m:r>
        <m:r>
          <m:t>n</m:t>
        </m:r>
        <m:r>
          <m:t>t</m:t>
        </m:r>
        <m:r>
          <m:t>o</m:t>
        </m:r>
        <m:r>
          <m:t>f</m:t>
        </m:r>
        <m:r>
          <m:t>Q</m:t>
        </m:r>
        <m:r>
          <m:t>2</m:t>
        </m:r>
        <m:r>
          <m:t>g</m:t>
        </m:r>
        <m:r>
          <m:t>u</m:t>
        </m:r>
        <m:r>
          <m:t>i</m:t>
        </m:r>
        <m:r>
          <m:t>d</m:t>
        </m:r>
        <m:r>
          <m:t>a</m:t>
        </m:r>
        <m:r>
          <m:t>n</m:t>
        </m:r>
        <m:r>
          <m:t>c</m:t>
        </m:r>
        <m:r>
          <m:t>e</m:t>
        </m:r>
        <m:r>
          <m:t>w</m:t>
        </m:r>
        <m:r>
          <m:t>o</m:t>
        </m:r>
        <m:r>
          <m:t>u</m:t>
        </m:r>
        <m:r>
          <m:t>l</m:t>
        </m:r>
        <m:r>
          <m:t>d</m:t>
        </m:r>
        <m:r>
          <m:t>p</m:t>
        </m:r>
        <m:r>
          <m:t>u</m:t>
        </m:r>
        <m:r>
          <m:t>t</m:t>
        </m:r>
        <m:r>
          <m:t>f</m:t>
        </m:r>
        <m:r>
          <m:t>i</m:t>
        </m:r>
        <m:r>
          <m:t>r</m:t>
        </m:r>
        <m:r>
          <m:t>s</m:t>
        </m:r>
        <m:r>
          <m:t>t</m:t>
        </m:r>
        <m:r>
          <m:rPr>
            <m:sty m:val="p"/>
          </m:rPr>
          <m:t>−</m:t>
        </m:r>
        <m:r>
          <m:t>h</m:t>
        </m:r>
        <m:r>
          <m:t>a</m:t>
        </m:r>
        <m:r>
          <m:t>l</m:t>
        </m:r>
        <m:r>
          <m:t>f</m:t>
        </m:r>
        <m:r>
          <m:t>a</m:t>
        </m:r>
        <m:r>
          <m:t>d</m:t>
        </m:r>
        <m:r>
          <m:t>j</m:t>
        </m:r>
        <m:r>
          <m:t>u</m:t>
        </m:r>
        <m:r>
          <m:t>s</m:t>
        </m:r>
        <m:r>
          <m:t>t</m:t>
        </m:r>
        <m:r>
          <m:t>e</m:t>
        </m:r>
        <m:r>
          <m:t>d</m:t>
        </m:r>
        <m:r>
          <m:t>E</m:t>
        </m:r>
        <m:r>
          <m:t>P</m:t>
        </m:r>
        <m:r>
          <m:t>S</m:t>
        </m:r>
        <m:r>
          <m:t>n</m:t>
        </m:r>
        <m:r>
          <m:t>e</m:t>
        </m:r>
        <m:r>
          <m:t>a</m:t>
        </m:r>
        <m:r>
          <m:t>r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t xml:space="preserve">11.55**.</w:t>
      </w:r>
    </w:p>
    <w:p>
      <w:pPr>
        <w:pStyle w:val="BodyText"/>
      </w:pPr>
      <w:r>
        <w:t xml:space="preserve">Maintaining the full-year midpoint of</w:t>
      </w:r>
      <w:r>
        <w:t xml:space="preserve"> </w:t>
      </w:r>
      <m:oMath>
        <m:r>
          <m:t>24.00</m:t>
        </m:r>
        <m:r>
          <m:t>w</m:t>
        </m:r>
        <m:r>
          <m:t>o</m:t>
        </m:r>
        <m:r>
          <m:t>u</m:t>
        </m:r>
        <m:r>
          <m:t>l</m:t>
        </m:r>
        <m:r>
          <m:t>d</m:t>
        </m:r>
        <m:r>
          <m:t>t</m:t>
        </m:r>
        <m:r>
          <m:t>h</m:t>
        </m:r>
        <m:r>
          <m:t>e</m:t>
        </m:r>
        <m:r>
          <m:t>n</m:t>
        </m:r>
        <m:r>
          <m:t>r</m:t>
        </m:r>
        <m:r>
          <m:t>e</m:t>
        </m:r>
        <m:r>
          <m:t>q</m:t>
        </m:r>
        <m:r>
          <m:t>u</m:t>
        </m:r>
        <m:r>
          <m:t>i</m:t>
        </m:r>
        <m:r>
          <m:t>r</m:t>
        </m:r>
        <m:r>
          <m:t>e</m:t>
        </m:r>
        <m:r>
          <m:t>a</m:t>
        </m:r>
        <m:r>
          <m:t>p</m:t>
        </m:r>
        <m:r>
          <m:t>p</m:t>
        </m:r>
        <m:r>
          <m:t>r</m:t>
        </m:r>
        <m:r>
          <m:t>o</m:t>
        </m:r>
        <m:r>
          <m:t>x</m:t>
        </m:r>
        <m:r>
          <m:t>i</m:t>
        </m:r>
        <m:r>
          <m:t>m</m:t>
        </m:r>
        <m:r>
          <m:t>a</m:t>
        </m:r>
        <m:r>
          <m:t>t</m:t>
        </m:r>
        <m:r>
          <m:t>e</m:t>
        </m:r>
        <m:r>
          <m:t>l</m:t>
        </m:r>
        <m:r>
          <m:t>y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t xml:space="preserve">12.45** of adjusted EPS in the second half, versus $11.87 in the second half of 2025. That is roughly 5% growth and does not appear particularly demanding if defense demand and commercial imaging continue to improve.</w:t>
      </w:r>
    </w:p>
    <w:p>
      <w:pPr>
        <w:pStyle w:val="BodyText"/>
      </w:pPr>
      <w:r>
        <w:t xml:space="preserve">That creates three broad scenarios:</w:t>
      </w:r>
    </w:p>
    <w:bookmarkStart w:id="20" w:name="bullish"/>
    <w:p>
      <w:pPr>
        <w:pStyle w:val="Heading3"/>
      </w:pPr>
      <w:r>
        <w:t xml:space="preserve">Bullish</w:t>
      </w:r>
    </w:p>
    <w:p>
      <w:pPr>
        <w:pStyle w:val="Compact"/>
        <w:numPr>
          <w:ilvl w:val="0"/>
          <w:numId w:val="1013"/>
        </w:numPr>
      </w:pPr>
      <w:r>
        <w:t xml:space="preserve">Q2 adjusted EPS above $5.80.</w:t>
      </w:r>
    </w:p>
    <w:p>
      <w:pPr>
        <w:pStyle w:val="Compact"/>
        <w:numPr>
          <w:ilvl w:val="0"/>
          <w:numId w:val="1013"/>
        </w:numPr>
      </w:pPr>
      <w:r>
        <w:t xml:space="preserve">Broad organic growth, especially in Digital Imaging and defense electronics.</w:t>
      </w:r>
    </w:p>
    <w:p>
      <w:pPr>
        <w:pStyle w:val="Compact"/>
        <w:numPr>
          <w:ilvl w:val="0"/>
          <w:numId w:val="1013"/>
        </w:numPr>
      </w:pPr>
      <w:r>
        <w:t xml:space="preserve">Instrumentation margin recovers.</w:t>
      </w:r>
    </w:p>
    <w:p>
      <w:pPr>
        <w:pStyle w:val="Compact"/>
        <w:numPr>
          <w:ilvl w:val="0"/>
          <w:numId w:val="1013"/>
        </w:numPr>
      </w:pPr>
      <w:r>
        <w:t xml:space="preserve">Orders exceed sales and backlog remains robust.</w:t>
      </w:r>
    </w:p>
    <w:p>
      <w:pPr>
        <w:pStyle w:val="Compact"/>
        <w:numPr>
          <w:ilvl w:val="0"/>
          <w:numId w:val="1013"/>
        </w:numPr>
      </w:pPr>
      <w:r>
        <w:t xml:space="preserve">Full-year adjusted EPS guidance rises by more than the amount of the Q2 beat.</w:t>
      </w:r>
    </w:p>
    <w:bookmarkEnd w:id="20"/>
    <w:bookmarkStart w:id="21" w:name="neutral"/>
    <w:p>
      <w:pPr>
        <w:pStyle w:val="Heading3"/>
      </w:pPr>
      <w:r>
        <w:t xml:space="preserve">Neutral</w:t>
      </w:r>
    </w:p>
    <w:p>
      <w:pPr>
        <w:pStyle w:val="Compact"/>
        <w:numPr>
          <w:ilvl w:val="0"/>
          <w:numId w:val="1014"/>
        </w:numPr>
      </w:pPr>
      <w:r>
        <w:t xml:space="preserve">EPS lands within or slightly above guidance.</w:t>
      </w:r>
    </w:p>
    <w:p>
      <w:pPr>
        <w:pStyle w:val="Compact"/>
        <w:numPr>
          <w:ilvl w:val="0"/>
          <w:numId w:val="1014"/>
        </w:numPr>
      </w:pPr>
      <w:r>
        <w:t xml:space="preserve">Segment trends remain broadly healthy.</w:t>
      </w:r>
    </w:p>
    <w:p>
      <w:pPr>
        <w:pStyle w:val="Compact"/>
        <w:numPr>
          <w:ilvl w:val="0"/>
          <w:numId w:val="1014"/>
        </w:numPr>
      </w:pPr>
      <w:r>
        <w:t xml:space="preserve">Management reiterates or modestly raises full-year guidance.</w:t>
      </w:r>
    </w:p>
    <w:p>
      <w:pPr>
        <w:pStyle w:val="Compact"/>
        <w:numPr>
          <w:ilvl w:val="0"/>
          <w:numId w:val="1014"/>
        </w:numPr>
      </w:pPr>
      <w:r>
        <w:t xml:space="preserve">Cash flow improves but inventory remains elevated.</w:t>
      </w:r>
    </w:p>
    <w:p>
      <w:pPr>
        <w:pStyle w:val="FirstParagraph"/>
      </w:pPr>
      <w:r>
        <w:t xml:space="preserve">This would be operationally sound, but the share-price response could be restrained given the valuation.</w:t>
      </w:r>
    </w:p>
    <w:bookmarkEnd w:id="21"/>
    <w:bookmarkStart w:id="22" w:name="bearish"/>
    <w:p>
      <w:pPr>
        <w:pStyle w:val="Heading3"/>
      </w:pPr>
      <w:r>
        <w:t xml:space="preserve">Bearish</w:t>
      </w:r>
    </w:p>
    <w:p>
      <w:pPr>
        <w:pStyle w:val="Compact"/>
        <w:numPr>
          <w:ilvl w:val="0"/>
          <w:numId w:val="1015"/>
        </w:numPr>
      </w:pPr>
      <w:r>
        <w:t xml:space="preserve">EPS misses or only reaches the low end of guidance.</w:t>
      </w:r>
    </w:p>
    <w:p>
      <w:pPr>
        <w:pStyle w:val="Compact"/>
        <w:numPr>
          <w:ilvl w:val="0"/>
          <w:numId w:val="1015"/>
        </w:numPr>
      </w:pPr>
      <w:r>
        <w:t xml:space="preserve">Digital Imaging growth slows sharply or margins weaken.</w:t>
      </w:r>
    </w:p>
    <w:p>
      <w:pPr>
        <w:pStyle w:val="Compact"/>
        <w:numPr>
          <w:ilvl w:val="0"/>
          <w:numId w:val="1015"/>
        </w:numPr>
      </w:pPr>
      <w:r>
        <w:t xml:space="preserve">Instrumentation suffers another quarter of unfavorable mix.</w:t>
      </w:r>
    </w:p>
    <w:p>
      <w:pPr>
        <w:pStyle w:val="Compact"/>
        <w:numPr>
          <w:ilvl w:val="0"/>
          <w:numId w:val="1015"/>
        </w:numPr>
      </w:pPr>
      <w:r>
        <w:t xml:space="preserve">Orders or book-to-bill soften.</w:t>
      </w:r>
    </w:p>
    <w:p>
      <w:pPr>
        <w:pStyle w:val="Compact"/>
        <w:numPr>
          <w:ilvl w:val="0"/>
          <w:numId w:val="1015"/>
        </w:numPr>
      </w:pPr>
      <w:r>
        <w:t xml:space="preserve">Full-year guidance is maintained only through lower taxes, interest expense or other below-the-line support.</w:t>
      </w:r>
    </w:p>
    <w:p>
      <w:pPr>
        <w:pStyle w:val="FirstParagraph"/>
      </w:pPr>
      <w:r>
        <w:t xml:space="preserve">The most negative combination would be a respectable headline EPS result accompanied by weaker organic orders and no improvement in segment margins.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4" w:name="risks-to-monitor-on-the-call"/>
    <w:p>
      <w:pPr>
        <w:pStyle w:val="Heading2"/>
      </w:pPr>
      <w:r>
        <w:t xml:space="preserve">Risks to monitor on the call</w:t>
      </w:r>
    </w:p>
    <w:p>
      <w:pPr>
        <w:pStyle w:val="Compact"/>
        <w:numPr>
          <w:ilvl w:val="0"/>
          <w:numId w:val="1016"/>
        </w:numPr>
      </w:pPr>
      <w:r>
        <w:t xml:space="preserve">Tariffs and restrictions affecting rare-earth minerals or permanent magnets.</w:t>
      </w:r>
    </w:p>
    <w:p>
      <w:pPr>
        <w:pStyle w:val="Compact"/>
        <w:numPr>
          <w:ilvl w:val="0"/>
          <w:numId w:val="1016"/>
        </w:numPr>
      </w:pPr>
      <w:r>
        <w:t xml:space="preserve">Export controls and licensing delays, particularly for FLIR products.</w:t>
      </w:r>
    </w:p>
    <w:p>
      <w:pPr>
        <w:pStyle w:val="Compact"/>
        <w:numPr>
          <w:ilvl w:val="0"/>
          <w:numId w:val="1016"/>
        </w:numPr>
      </w:pPr>
      <w:r>
        <w:t xml:space="preserve">Timing of U.S. government awards and payments.</w:t>
      </w:r>
    </w:p>
    <w:p>
      <w:pPr>
        <w:pStyle w:val="Compact"/>
        <w:numPr>
          <w:ilvl w:val="0"/>
          <w:numId w:val="1016"/>
        </w:numPr>
      </w:pPr>
      <w:r>
        <w:t xml:space="preserve">Middle East disruption affecting energy, shipping or critical materials.</w:t>
      </w:r>
    </w:p>
    <w:p>
      <w:pPr>
        <w:pStyle w:val="Compact"/>
        <w:numPr>
          <w:ilvl w:val="0"/>
          <w:numId w:val="1016"/>
        </w:numPr>
      </w:pPr>
      <w:r>
        <w:t xml:space="preserve">Higher R&amp;D spending without corresponding program wins.</w:t>
      </w:r>
    </w:p>
    <w:p>
      <w:pPr>
        <w:pStyle w:val="Compact"/>
        <w:numPr>
          <w:ilvl w:val="0"/>
          <w:numId w:val="1016"/>
        </w:numPr>
      </w:pPr>
      <w:r>
        <w:t xml:space="preserve">Foreign-exchange volatility across Teledyne’s European operations.</w:t>
      </w:r>
    </w:p>
    <w:p>
      <w:pPr>
        <w:pStyle w:val="Compact"/>
        <w:numPr>
          <w:ilvl w:val="0"/>
          <w:numId w:val="1016"/>
        </w:numPr>
      </w:pPr>
      <w:r>
        <w:t xml:space="preserve">Continued softness in test and measurement or scientific imaging.</w:t>
      </w:r>
    </w:p>
    <w:p>
      <w:pPr>
        <w:pStyle w:val="Compact"/>
        <w:numPr>
          <w:ilvl w:val="0"/>
          <w:numId w:val="1016"/>
        </w:numPr>
      </w:pPr>
      <w:r>
        <w:t xml:space="preserve">Inventory remaining elevated relative to sales.</w:t>
      </w:r>
    </w:p>
    <w:p>
      <w:pPr>
        <w:pStyle w:val="Compact"/>
        <w:numPr>
          <w:ilvl w:val="0"/>
          <w:numId w:val="1016"/>
        </w:numPr>
      </w:pPr>
      <w:r>
        <w:t xml:space="preserve">Commercial-aircraft production constraints.</w:t>
      </w:r>
    </w:p>
    <w:p>
      <w:pPr>
        <w:pStyle w:val="Compact"/>
        <w:numPr>
          <w:ilvl w:val="0"/>
          <w:numId w:val="1016"/>
        </w:numPr>
      </w:pPr>
      <w:r>
        <w:t xml:space="preserve">Contract-estimate adjustments creating quarterly margin volatility.</w:t>
      </w:r>
    </w:p>
    <w:p>
      <w:r>
        <w:pict>
          <v:rect style="width:0;height:1.5pt" o:hralign="center" o:hrstd="t" o:hr="t"/>
        </w:pict>
      </w:r>
    </w:p>
    <w:bookmarkEnd w:id="24"/>
    <w:bookmarkStart w:id="25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Teledyne enters Q2 from a position of strength: defense demand is healthy, commercial imaging has been recovering, margins are expanding and the balance sheet remains flexible. The company’s own EPS guidance suggests another quarter of double-digit adjusted earnings growth.</w:t>
      </w:r>
    </w:p>
    <w:p>
      <w:pPr>
        <w:pStyle w:val="BodyText"/>
      </w:pPr>
      <w:r>
        <w:t xml:space="preserve">However, the stock’s approximately</w:t>
      </w:r>
      <w:r>
        <w:t xml:space="preserve"> </w:t>
      </w:r>
      <w:r>
        <w:rPr>
          <w:b/>
          <w:bCs/>
        </w:rPr>
        <w:t xml:space="preserve">27x forward adjusted-earnings multiple</w:t>
      </w:r>
      <w:r>
        <w:t xml:space="preserve"> </w:t>
      </w:r>
      <w:r>
        <w:t xml:space="preserve">raises the bar. A simple in-line result may not be enough. The best evidence that the earnings trajectory remains durable would be:</w:t>
      </w:r>
    </w:p>
    <w:p>
      <w:pPr>
        <w:pStyle w:val="Compact"/>
        <w:numPr>
          <w:ilvl w:val="0"/>
          <w:numId w:val="1017"/>
        </w:numPr>
      </w:pPr>
      <w:r>
        <w:t xml:space="preserve">Broad organic growth in Digital Imaging.</w:t>
      </w:r>
    </w:p>
    <w:p>
      <w:pPr>
        <w:pStyle w:val="Compact"/>
        <w:numPr>
          <w:ilvl w:val="0"/>
          <w:numId w:val="1017"/>
        </w:numPr>
      </w:pPr>
      <w:r>
        <w:t xml:space="preserve">Continued strength in defense-electronics orders.</w:t>
      </w:r>
    </w:p>
    <w:p>
      <w:pPr>
        <w:pStyle w:val="Compact"/>
        <w:numPr>
          <w:ilvl w:val="0"/>
          <w:numId w:val="1017"/>
        </w:numPr>
      </w:pPr>
      <w:r>
        <w:t xml:space="preserve">A rebound in Instrumentation profitability.</w:t>
      </w:r>
    </w:p>
    <w:p>
      <w:pPr>
        <w:pStyle w:val="Compact"/>
        <w:numPr>
          <w:ilvl w:val="0"/>
          <w:numId w:val="1017"/>
        </w:numPr>
      </w:pPr>
      <w:r>
        <w:t xml:space="preserve">Improved cash conversion.</w:t>
      </w:r>
    </w:p>
    <w:p>
      <w:pPr>
        <w:pStyle w:val="Compact"/>
        <w:numPr>
          <w:ilvl w:val="0"/>
          <w:numId w:val="1017"/>
        </w:numPr>
      </w:pPr>
      <w:r>
        <w:t xml:space="preserve">Another increase in full-year guidance supported by operating performance rather than tax or interest benefits.</w:t>
      </w:r>
    </w:p>
    <w:p>
      <w:pPr>
        <w:pStyle w:val="FirstParagraph"/>
      </w:pPr>
      <w:r>
        <w:t xml:space="preserve">Of those,</w:t>
      </w:r>
      <w:r>
        <w:t xml:space="preserve"> </w:t>
      </w:r>
      <w:r>
        <w:rPr>
          <w:b/>
          <w:bCs/>
        </w:rPr>
        <w:t xml:space="preserve">orders/backlog, Instrumentation margins and the full-year outlook</w:t>
      </w:r>
      <w:r>
        <w:t xml:space="preserve"> </w:t>
      </w:r>
      <w:r>
        <w:t xml:space="preserve">are likely to be the most important indicators for the stock immediately following the report.</w:t>
      </w:r>
    </w:p>
    <w:bookmarkEnd w:id="25"/>
    <w:bookmarkEnd w:id="2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2026-07-22T00:28:47Z</dcterms:created>
  <dcterms:modified xsi:type="dcterms:W3CDTF">2026-07-22T00:28:47Z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