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4" w:name="X55395d2792d1d408e71e8cb0ff748e94ea1491e"/>
    <w:p>
      <w:pPr>
        <w:pStyle w:val="Heading1"/>
      </w:pPr>
      <w:r>
        <w:t xml:space="preserve">United Rentals (NYSE: URI) — 2Q26 Earnings Preview</w:t>
      </w:r>
    </w:p>
    <w:p>
      <w:pPr>
        <w:pStyle w:val="BlockText"/>
      </w:pPr>
      <w:r>
        <w:rPr>
          <w:b/>
          <w:bCs/>
        </w:rPr>
        <w:t xml:space="preserve">Timing note:</w:t>
      </w:r>
      <w:r>
        <w:t xml:space="preserve"> </w:t>
      </w:r>
      <w:r>
        <w:t xml:space="preserve">Today is</w:t>
      </w:r>
      <w:r>
        <w:t xml:space="preserve"> </w:t>
      </w:r>
      <w:r>
        <w:rPr>
          <w:b/>
          <w:bCs/>
        </w:rPr>
        <w:t xml:space="preserve">Wednesday, July 22, 2026</w:t>
      </w:r>
      <w:r>
        <w:t xml:space="preserve">. I treat this as a</w:t>
      </w:r>
      <w:r>
        <w:t xml:space="preserve"> </w:t>
      </w:r>
      <w:r>
        <w:rPr>
          <w:b/>
          <w:bCs/>
        </w:rPr>
        <w:t xml:space="preserve">release-day preview</w:t>
      </w:r>
      <w:r>
        <w:t xml:space="preserve">, rather than a “tomorrow” preview. URI’s prior-quarter pattern was an after-market results release followed by a next-morning conference call; investors should distinguish the financial release from the live call.</w:t>
      </w:r>
    </w:p>
    <w:bookmarkStart w:id="9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URI enters 2Q with</w:t>
      </w:r>
      <w:r>
        <w:t xml:space="preserve"> </w:t>
      </w:r>
      <w:r>
        <w:rPr>
          <w:b/>
          <w:bCs/>
        </w:rPr>
        <w:t xml:space="preserve">genuine operating momentum</w:t>
      </w:r>
      <w:r>
        <w:t xml:space="preserve">: first-quarter rental revenue grew 8.7%, fleet productivity was positive, general-rent margins expanded, Specialty remained a double-digit grower, and management raised 2026 revenue, EBITDA, CapEx, and operating-cash-flow guidance.</w:t>
      </w:r>
    </w:p>
    <w:p>
      <w:pPr>
        <w:pStyle w:val="BodyText"/>
      </w:pPr>
      <w:r>
        <w:t xml:space="preserve">The issue for the stock is less whether URI posts healthy 2Q growth and more whether it demonstrates that: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Fleet productivity can remain solidly positive</w:t>
      </w:r>
      <w:r>
        <w:t xml:space="preserve"> </w:t>
      </w:r>
      <w:r>
        <w:t xml:space="preserve">through the core construction season;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Delivery/repositioning costs are under control</w:t>
      </w:r>
      <w:r>
        <w:t xml:space="preserve"> </w:t>
      </w:r>
      <w:r>
        <w:t xml:space="preserve">as activity peaks;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Specialty growth converts to margin performance</w:t>
      </w:r>
      <w:r>
        <w:t xml:space="preserve">, rather than remaining diluted by logistics, depreciation, and ancillary mix;</w:t>
      </w:r>
    </w:p>
    <w:p>
      <w:pPr>
        <w:pStyle w:val="Compact"/>
        <w:numPr>
          <w:ilvl w:val="0"/>
          <w:numId w:val="1001"/>
        </w:numPr>
      </w:pPr>
      <w:r>
        <w:t xml:space="preserve">The 1Q guidance increase was conservative enough to permit another raise or at least reinforce confidence in the upper half of the range.</w:t>
      </w:r>
    </w:p>
    <w:p>
      <w:pPr>
        <w:pStyle w:val="FirstParagraph"/>
      </w:pPr>
      <w:r>
        <w:t xml:space="preserve">My view:</w:t>
      </w:r>
      <w:r>
        <w:t xml:space="preserve"> </w:t>
      </w:r>
      <w:r>
        <w:rPr>
          <w:b/>
          <w:bCs/>
        </w:rPr>
        <w:t xml:space="preserve">fundamentals appear constructive, but expectations are no longer low.</w:t>
      </w:r>
      <w:r>
        <w:t xml:space="preserve"> </w:t>
      </w:r>
      <w:r>
        <w:t xml:space="preserve">URI shares gained roughly</w:t>
      </w:r>
      <w:r>
        <w:t xml:space="preserve"> </w:t>
      </w:r>
      <w:r>
        <w:rPr>
          <w:b/>
          <w:bCs/>
        </w:rPr>
        <w:t xml:space="preserve">24.8%</w:t>
      </w:r>
      <w:r>
        <w:t xml:space="preserve"> </w:t>
      </w:r>
      <w:r>
        <w:t xml:space="preserve">from April 20 through July 21, before retracing roughly</w:t>
      </w:r>
      <w:r>
        <w:t xml:space="preserve"> </w:t>
      </w:r>
      <w:r>
        <w:rPr>
          <w:b/>
          <w:bCs/>
        </w:rPr>
        <w:t xml:space="preserve">11.1%</w:t>
      </w:r>
      <w:r>
        <w:t xml:space="preserve"> </w:t>
      </w:r>
      <w:r>
        <w:t xml:space="preserve">from their June 25 closing high. A merely in-line result with unchanged guidance could therefore be insufficient if investors entered the quarter expecting a repeat of the strong 1Q setup.</w:t>
      </w:r>
    </w:p>
    <w:p>
      <w:r>
        <w:pict>
          <v:rect style="width:0;height:1.5pt" o:hralign="center" o:hrstd="t" o:hr="t"/>
        </w:pict>
      </w:r>
    </w:p>
    <w:bookmarkEnd w:id="9"/>
    <w:bookmarkStart w:id="12" w:name="what-uri-has-to-prove-in-2q"/>
    <w:p>
      <w:pPr>
        <w:pStyle w:val="Heading2"/>
      </w:pPr>
      <w:r>
        <w:t xml:space="preserve">What URI has to prove in 2Q</w:t>
      </w:r>
    </w:p>
    <w:bookmarkStart w:id="10" w:name="X2379553f899cc3158f67e380044aaeb45ce0172"/>
    <w:p>
      <w:pPr>
        <w:pStyle w:val="Heading3"/>
      </w:pPr>
      <w:r>
        <w:t xml:space="preserve">1. Rental growth must hold up against a demanding seasonal and year-ago backdrop</w:t>
      </w:r>
    </w:p>
    <w:p>
      <w:pPr>
        <w:pStyle w:val="FirstParagraph"/>
      </w:pPr>
      <w:r>
        <w:t xml:space="preserve">In 2Q25, URI reported: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2Q25 actual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$3.943B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Rental revenue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$3.415B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$1.810B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45.9%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$10.47</w:t>
            </w:r>
          </w:p>
        </w:tc>
      </w:tr>
      <w:tr>
        <w:tc>
          <w:tcPr/>
          <w:p>
            <w:pPr>
              <w:pStyle w:val="Compact"/>
            </w:pPr>
            <w:r>
              <w:t xml:space="preserve">Fleet productivity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+3.3%</w:t>
            </w:r>
          </w:p>
        </w:tc>
      </w:tr>
    </w:tbl>
    <w:p>
      <w:pPr>
        <w:pStyle w:val="BodyText"/>
      </w:pPr>
      <w:r>
        <w:t xml:space="preserve">The company’s 1Q26 results established a favorable starting point: rental revenue rose</w:t>
      </w:r>
      <w:r>
        <w:t xml:space="preserve"> </w:t>
      </w:r>
      <w:r>
        <w:rPr>
          <w:b/>
          <w:bCs/>
        </w:rPr>
        <w:t xml:space="preserve">8.7%</w:t>
      </w:r>
      <w:r>
        <w:t xml:space="preserve">, with</w:t>
      </w:r>
      <w:r>
        <w:t xml:space="preserve"> </w:t>
      </w:r>
      <w:r>
        <w:rPr>
          <w:b/>
          <w:bCs/>
        </w:rPr>
        <w:t xml:space="preserve">5.7%</w:t>
      </w:r>
      <w:r>
        <w:t xml:space="preserve"> </w:t>
      </w:r>
      <w:r>
        <w:t xml:space="preserve">average fleet growth,</w:t>
      </w:r>
      <w:r>
        <w:t xml:space="preserve"> </w:t>
      </w:r>
      <w:r>
        <w:rPr>
          <w:b/>
          <w:bCs/>
        </w:rPr>
        <w:t xml:space="preserve">2.3%</w:t>
      </w:r>
      <w:r>
        <w:t xml:space="preserve"> </w:t>
      </w:r>
      <w:r>
        <w:t xml:space="preserve">fleet productivity, and a further</w:t>
      </w:r>
      <w:r>
        <w:t xml:space="preserve"> </w:t>
      </w:r>
      <w:r>
        <w:rPr>
          <w:b/>
          <w:bCs/>
        </w:rPr>
        <w:t xml:space="preserve">2.2%</w:t>
      </w:r>
      <w:r>
        <w:t xml:space="preserve"> </w:t>
      </w:r>
      <w:r>
        <w:t xml:space="preserve">contribution from ancillary and re-rent revenue.</w:t>
      </w:r>
    </w:p>
    <w:p>
      <w:pPr>
        <w:pStyle w:val="BodyText"/>
      </w:pPr>
      <w:r>
        <w:t xml:space="preserve">For 2Q, the key question is whether the busy season brings enough rate, utilization, and project mix to sustain that momentum. A result around positive fleet productivity would support the core investment case; a meaningful deceleration versus 1Q, particularly if accompanied by softer management commentary on pricing or utilization, would be the clearest warning sign.</w:t>
      </w:r>
    </w:p>
    <w:bookmarkEnd w:id="10"/>
    <w:bookmarkStart w:id="11" w:name="X24c65d25e1a4042b87236a1dd2615ecba91b629"/>
    <w:p>
      <w:pPr>
        <w:pStyle w:val="Heading3"/>
      </w:pPr>
      <w:r>
        <w:t xml:space="preserve">2. Margin execution matters more than revenue upside</w:t>
      </w:r>
    </w:p>
    <w:p>
      <w:pPr>
        <w:pStyle w:val="FirstParagraph"/>
      </w:pPr>
      <w:r>
        <w:t xml:space="preserve">The cleanest positive development in 1Q was not just growth—it was</w:t>
      </w:r>
      <w:r>
        <w:t xml:space="preserve"> </w:t>
      </w:r>
      <w:r>
        <w:rPr>
          <w:b/>
          <w:bCs/>
        </w:rPr>
        <w:t xml:space="preserve">cost discipline</w:t>
      </w:r>
      <w:r>
        <w:t xml:space="preserve">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General Rentals</w:t>
      </w:r>
      <w:r>
        <w:t xml:space="preserve"> </w:t>
      </w:r>
      <w:r>
        <w:t xml:space="preserve">rental revenue grew 6.2%, while rental gross margin expanded</w:t>
      </w:r>
      <w:r>
        <w:t xml:space="preserve"> </w:t>
      </w:r>
      <w:r>
        <w:rPr>
          <w:b/>
          <w:bCs/>
        </w:rPr>
        <w:t xml:space="preserve">150 bps</w:t>
      </w:r>
      <w:r>
        <w:t xml:space="preserve"> </w:t>
      </w:r>
      <w:r>
        <w:t xml:space="preserve">to 33.8%.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Specialty</w:t>
      </w:r>
      <w:r>
        <w:t xml:space="preserve"> </w:t>
      </w:r>
      <w:r>
        <w:t xml:space="preserve">rental revenue grew 13.8%, but rental gross margin declined</w:t>
      </w:r>
      <w:r>
        <w:t xml:space="preserve"> </w:t>
      </w:r>
      <w:r>
        <w:rPr>
          <w:b/>
          <w:bCs/>
        </w:rPr>
        <w:t xml:space="preserve">170 bps</w:t>
      </w:r>
      <w:r>
        <w:t xml:space="preserve"> </w:t>
      </w:r>
      <w:r>
        <w:t xml:space="preserve">to 41.4%.</w:t>
      </w:r>
    </w:p>
    <w:p>
      <w:pPr>
        <w:pStyle w:val="Compact"/>
        <w:numPr>
          <w:ilvl w:val="0"/>
          <w:numId w:val="1002"/>
        </w:numPr>
      </w:pPr>
      <w:r>
        <w:t xml:space="preserve">Excluding the prior-year H&amp;E termination benefit, adjusted EBITDA margin improved</w:t>
      </w:r>
      <w:r>
        <w:t xml:space="preserve"> </w:t>
      </w:r>
      <w:r>
        <w:rPr>
          <w:b/>
          <w:bCs/>
        </w:rPr>
        <w:t xml:space="preserve">60 bps</w:t>
      </w:r>
      <w:r>
        <w:t xml:space="preserve"> </w:t>
      </w:r>
      <w:r>
        <w:t xml:space="preserve">year over year.</w:t>
      </w:r>
    </w:p>
    <w:p>
      <w:pPr>
        <w:pStyle w:val="FirstParagraph"/>
      </w:pPr>
      <w:r>
        <w:t xml:space="preserve">Management attributed the general-rent improvement to better labor, delivery, and depreciation leverage. It also said delivery is the cost line requiring the most attention through the busy season.</w:t>
      </w:r>
    </w:p>
    <w:p>
      <w:pPr>
        <w:pStyle w:val="BodyText"/>
      </w:pPr>
      <w:r>
        <w:t xml:space="preserve">That makes 2Q a practical test of whether 1Q was a durable operational improvement or simply a favorable early-season outcome. Investors should focus on:</w:t>
      </w:r>
    </w:p>
    <w:p>
      <w:pPr>
        <w:pStyle w:val="Compact"/>
        <w:numPr>
          <w:ilvl w:val="0"/>
          <w:numId w:val="1003"/>
        </w:numPr>
      </w:pPr>
      <w:r>
        <w:t xml:space="preserve">Rental gross-margin progression;</w:t>
      </w:r>
    </w:p>
    <w:p>
      <w:pPr>
        <w:pStyle w:val="Compact"/>
        <w:numPr>
          <w:ilvl w:val="0"/>
          <w:numId w:val="1003"/>
        </w:numPr>
      </w:pPr>
      <w:r>
        <w:t xml:space="preserve">Delivery and hauling costs as a percentage of revenue;</w:t>
      </w:r>
    </w:p>
    <w:p>
      <w:pPr>
        <w:pStyle w:val="Compact"/>
        <w:numPr>
          <w:ilvl w:val="0"/>
          <w:numId w:val="1003"/>
        </w:numPr>
      </w:pPr>
      <w:r>
        <w:t xml:space="preserve">Labor absorption;</w:t>
      </w:r>
    </w:p>
    <w:p>
      <w:pPr>
        <w:pStyle w:val="Compact"/>
        <w:numPr>
          <w:ilvl w:val="0"/>
          <w:numId w:val="1003"/>
        </w:numPr>
      </w:pPr>
      <w:r>
        <w:t xml:space="preserve">Specialty-margin trajectory;</w:t>
      </w:r>
    </w:p>
    <w:p>
      <w:pPr>
        <w:pStyle w:val="Compact"/>
        <w:numPr>
          <w:ilvl w:val="0"/>
          <w:numId w:val="1003"/>
        </w:numPr>
      </w:pPr>
      <w:r>
        <w:t xml:space="preserve">The magnitude and realization pace of restructuring savings.</w:t>
      </w:r>
    </w:p>
    <w:p>
      <w:pPr>
        <w:pStyle w:val="FirstParagraph"/>
      </w:pPr>
      <w:r>
        <w:rPr>
          <w:b/>
          <w:bCs/>
        </w:rPr>
        <w:t xml:space="preserve">Best-case read:</w:t>
      </w:r>
      <w:r>
        <w:t xml:space="preserve"> </w:t>
      </w:r>
      <w:r>
        <w:t xml:space="preserve">general-rent margins stay strong while Specialty’s margin pressure narrows materially.</w:t>
      </w:r>
      <w:r>
        <w:br/>
      </w:r>
      <w:r>
        <w:rPr>
          <w:b/>
          <w:bCs/>
        </w:rPr>
        <w:t xml:space="preserve">Bear-case read:</w:t>
      </w:r>
      <w:r>
        <w:t xml:space="preserve"> </w:t>
      </w:r>
      <w:r>
        <w:t xml:space="preserve">revenue grows, but delivery and repositioning costs absorb the operating leverage.</w:t>
      </w:r>
    </w:p>
    <w:p>
      <w:r>
        <w:pict>
          <v:rect style="width:0;height:1.5pt" o:hralign="center" o:hrstd="t" o:hr="t"/>
        </w:pict>
      </w:r>
    </w:p>
    <w:bookmarkEnd w:id="11"/>
    <w:bookmarkEnd w:id="12"/>
    <w:bookmarkStart w:id="14" w:name="Xb0db32488b382c07751c2e9c2ea2a6d5afd65dc"/>
    <w:p>
      <w:pPr>
        <w:pStyle w:val="Heading2"/>
      </w:pPr>
      <w:r>
        <w:t xml:space="preserve">The most important operating KPI: fleet productivity</w:t>
      </w:r>
    </w:p>
    <w:p>
      <w:pPr>
        <w:pStyle w:val="FirstParagraph"/>
      </w:pPr>
      <w:r>
        <w:t xml:space="preserve">URI’s fleet-productivity metric combines pricing, time utilization, and mix. It is the most useful high-level indicator of whether URI is generating rental growth more efficiently than it is adding fleet.</w:t>
      </w:r>
    </w:p>
    <w:p>
      <w:pPr>
        <w:pStyle w:val="BodyText"/>
      </w:pPr>
      <w:r>
        <w:t xml:space="preserve">In 1Q, management emphasized:</w:t>
      </w:r>
    </w:p>
    <w:p>
      <w:pPr>
        <w:pStyle w:val="Compact"/>
        <w:numPr>
          <w:ilvl w:val="0"/>
          <w:numId w:val="1004"/>
        </w:numPr>
      </w:pPr>
      <w:r>
        <w:t xml:space="preserve">Positive pricing;</w:t>
      </w:r>
    </w:p>
    <w:p>
      <w:pPr>
        <w:pStyle w:val="Compact"/>
        <w:numPr>
          <w:ilvl w:val="0"/>
          <w:numId w:val="1004"/>
        </w:numPr>
      </w:pPr>
      <w:r>
        <w:t xml:space="preserve">Continued high time utilization;</w:t>
      </w:r>
    </w:p>
    <w:p>
      <w:pPr>
        <w:pStyle w:val="Compact"/>
        <w:numPr>
          <w:ilvl w:val="0"/>
          <w:numId w:val="1004"/>
        </w:numPr>
      </w:pPr>
      <w:r>
        <w:t xml:space="preserve">Better mix than in 4Q25;</w:t>
      </w:r>
    </w:p>
    <w:p>
      <w:pPr>
        <w:pStyle w:val="Compact"/>
        <w:numPr>
          <w:ilvl w:val="0"/>
          <w:numId w:val="1004"/>
        </w:numPr>
      </w:pPr>
      <w:r>
        <w:t xml:space="preserve">Supply/demand conditions that remain conducive to positive productivity.</w:t>
      </w:r>
    </w:p>
    <w:p>
      <w:pPr>
        <w:pStyle w:val="FirstParagraph"/>
      </w:pPr>
      <w:r>
        <w:t xml:space="preserve">Management’s implicit objective is to exceed its roughly</w:t>
      </w:r>
      <w:r>
        <w:t xml:space="preserve"> </w:t>
      </w:r>
      <w:r>
        <w:rPr>
          <w:b/>
          <w:bCs/>
        </w:rPr>
        <w:t xml:space="preserve">1.5% fleet-inflation hurdle</w:t>
      </w:r>
      <w:r>
        <w:t xml:space="preserve">—in simple terms, to grow rental revenue faster than the fleet base.</w:t>
      </w:r>
    </w:p>
    <w:bookmarkStart w:id="13" w:name="what-to-listen-for"/>
    <w:p>
      <w:pPr>
        <w:pStyle w:val="Heading3"/>
      </w:pPr>
      <w:r>
        <w:t xml:space="preserve">What to listen for</w:t>
      </w:r>
    </w:p>
    <w:p>
      <w:pPr>
        <w:pStyle w:val="Compact"/>
        <w:numPr>
          <w:ilvl w:val="0"/>
          <w:numId w:val="1005"/>
        </w:numPr>
      </w:pPr>
      <w:r>
        <w:t xml:space="preserve">Is fleet productivity still above inflation?</w:t>
      </w:r>
    </w:p>
    <w:p>
      <w:pPr>
        <w:pStyle w:val="Compact"/>
        <w:numPr>
          <w:ilvl w:val="0"/>
          <w:numId w:val="1005"/>
        </w:numPr>
      </w:pPr>
      <w:r>
        <w:t xml:space="preserve">Does management characterize</w:t>
      </w:r>
      <w:r>
        <w:t xml:space="preserve"> </w:t>
      </w:r>
      <w:r>
        <w:rPr>
          <w:b/>
          <w:bCs/>
        </w:rPr>
        <w:t xml:space="preserve">rate</w:t>
      </w:r>
      <w:r>
        <w:t xml:space="preserve"> </w:t>
      </w:r>
      <w:r>
        <w:t xml:space="preserve">as improving, stable, or increasingly competitive?</w:t>
      </w:r>
    </w:p>
    <w:p>
      <w:pPr>
        <w:pStyle w:val="Compact"/>
        <w:numPr>
          <w:ilvl w:val="0"/>
          <w:numId w:val="1005"/>
        </w:numPr>
      </w:pPr>
      <w:r>
        <w:t xml:space="preserve">Is high utilization continuing without sacrificing customer service?</w:t>
      </w:r>
    </w:p>
    <w:p>
      <w:pPr>
        <w:pStyle w:val="Compact"/>
        <w:numPr>
          <w:ilvl w:val="0"/>
          <w:numId w:val="1005"/>
        </w:numPr>
      </w:pPr>
      <w:r>
        <w:t xml:space="preserve">Are large projects helping mix, or is mix becoming a headwind again?</w:t>
      </w:r>
    </w:p>
    <w:p>
      <w:pPr>
        <w:pStyle w:val="Compact"/>
        <w:numPr>
          <w:ilvl w:val="0"/>
          <w:numId w:val="1005"/>
        </w:numPr>
      </w:pPr>
      <w:r>
        <w:t xml:space="preserve">Does management discuss a meaningful difference between major-project demand and local-market demand?</w:t>
      </w:r>
    </w:p>
    <w:p>
      <w:pPr>
        <w:pStyle w:val="FirstParagraph"/>
      </w:pPr>
      <w:r>
        <w:t xml:space="preserve">A strong answer here can matter more to the stock than a modest quarterly EPS beat.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5" w:name="Xea28f2c04f0fba947d92f6250405d17ad9cc143"/>
    <w:p>
      <w:pPr>
        <w:pStyle w:val="Heading2"/>
      </w:pPr>
      <w:r>
        <w:t xml:space="preserve">End-market backdrop: major projects and Specialty remain the growth engine</w:t>
      </w:r>
    </w:p>
    <w:p>
      <w:pPr>
        <w:pStyle w:val="FirstParagraph"/>
      </w:pPr>
      <w:r>
        <w:t xml:space="preserve">Management’s 1Q commentary was notably constructive on demand, especially in:</w:t>
      </w:r>
    </w:p>
    <w:p>
      <w:pPr>
        <w:pStyle w:val="Compact"/>
        <w:numPr>
          <w:ilvl w:val="0"/>
          <w:numId w:val="1006"/>
        </w:numPr>
      </w:pPr>
      <w:r>
        <w:t xml:space="preserve">Large construction projects;</w:t>
      </w:r>
    </w:p>
    <w:p>
      <w:pPr>
        <w:pStyle w:val="Compact"/>
        <w:numPr>
          <w:ilvl w:val="0"/>
          <w:numId w:val="1006"/>
        </w:numPr>
      </w:pPr>
      <w:r>
        <w:t xml:space="preserve">Data centers, though URI stressed the opportunity is broader than data centers alone;</w:t>
      </w:r>
    </w:p>
    <w:p>
      <w:pPr>
        <w:pStyle w:val="Compact"/>
        <w:numPr>
          <w:ilvl w:val="0"/>
          <w:numId w:val="1006"/>
        </w:numPr>
      </w:pPr>
      <w:r>
        <w:t xml:space="preserve">Non-residential construction;</w:t>
      </w:r>
    </w:p>
    <w:p>
      <w:pPr>
        <w:pStyle w:val="Compact"/>
        <w:numPr>
          <w:ilvl w:val="0"/>
          <w:numId w:val="1006"/>
        </w:numPr>
      </w:pPr>
      <w:r>
        <w:t xml:space="preserve">Infrastructure;</w:t>
      </w:r>
    </w:p>
    <w:p>
      <w:pPr>
        <w:pStyle w:val="Compact"/>
        <w:numPr>
          <w:ilvl w:val="0"/>
          <w:numId w:val="1006"/>
        </w:numPr>
      </w:pPr>
      <w:r>
        <w:t xml:space="preserve">Power, which management described as a double-digit-growth end market;</w:t>
      </w:r>
    </w:p>
    <w:p>
      <w:pPr>
        <w:pStyle w:val="Compact"/>
        <w:numPr>
          <w:ilvl w:val="0"/>
          <w:numId w:val="1006"/>
        </w:numPr>
      </w:pPr>
      <w:r>
        <w:t xml:space="preserve">Industrial manufacturing, healthcare, mining/minerals, and selected petrochemical opportunities.</w:t>
      </w:r>
    </w:p>
    <w:p>
      <w:pPr>
        <w:pStyle w:val="FirstParagraph"/>
      </w:pPr>
      <w:r>
        <w:t xml:space="preserve">Specialty remains central to the thesis. URI opened</w:t>
      </w:r>
      <w:r>
        <w:t xml:space="preserve"> </w:t>
      </w:r>
      <w:r>
        <w:rPr>
          <w:b/>
          <w:bCs/>
        </w:rPr>
        <w:t xml:space="preserve">17 Specialty cold starts</w:t>
      </w:r>
      <w:r>
        <w:t xml:space="preserve"> </w:t>
      </w:r>
      <w:r>
        <w:t xml:space="preserve">in 1Q and was targeting roughly</w:t>
      </w:r>
      <w:r>
        <w:t xml:space="preserve"> </w:t>
      </w:r>
      <w:r>
        <w:rPr>
          <w:b/>
          <w:bCs/>
        </w:rPr>
        <w:t xml:space="preserve">40</w:t>
      </w:r>
      <w:r>
        <w:t xml:space="preserve"> </w:t>
      </w:r>
      <w:r>
        <w:t xml:space="preserve">for the full year. The segment is growing faster than General Rentals and is strategically valuable because it deepens URI’s customer relationship and raises its ability to win complex projects.</w:t>
      </w:r>
    </w:p>
    <w:p>
      <w:pPr>
        <w:pStyle w:val="BodyText"/>
      </w:pPr>
      <w:r>
        <w:t xml:space="preserve">The trade-off is that Specialty’s rapid growth can bring more fleet repositioning, delivery expense, depreciation, and lower-margin ancillary revenue. Thus, 2Q needs to demonstrate not just Specialty revenue growth, but</w:t>
      </w:r>
      <w:r>
        <w:t xml:space="preserve"> </w:t>
      </w:r>
      <w:r>
        <w:rPr>
          <w:b/>
          <w:bCs/>
        </w:rPr>
        <w:t xml:space="preserve">improving incremental economics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5"/>
    <w:bookmarkStart w:id="17" w:name="X5790078641b9cc5d7d9564d5854fc25d0018428"/>
    <w:p>
      <w:pPr>
        <w:pStyle w:val="Heading2"/>
      </w:pPr>
      <w:r>
        <w:t xml:space="preserve">Guidance: the pivotal earnings-event issue</w:t>
      </w:r>
    </w:p>
    <w:p>
      <w:pPr>
        <w:pStyle w:val="FirstParagraph"/>
      </w:pPr>
      <w:r>
        <w:t xml:space="preserve">After 1Q, URI raised 2026 guidance to: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2026 guidance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Current range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16.9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17.4B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7.625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7.875B</w:t>
            </w:r>
          </w:p>
        </w:tc>
      </w:tr>
      <w:tr>
        <w:tc>
          <w:tcPr/>
          <w:p>
            <w:pPr>
              <w:pStyle w:val="Compact"/>
            </w:pPr>
            <w:r>
              <w:t xml:space="preserve">Gross rental CapEx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4.4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4.8B</w:t>
            </w:r>
          </w:p>
        </w:tc>
      </w:tr>
      <w:tr>
        <w:tc>
          <w:tcPr/>
          <w:p>
            <w:pPr>
              <w:pStyle w:val="Compact"/>
            </w:pPr>
            <w:r>
              <w:t xml:space="preserve">Net rental CapEx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2.95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3.35B</w:t>
            </w:r>
          </w:p>
        </w:tc>
      </w:tr>
      <w:tr>
        <w:tc>
          <w:tcPr/>
          <w:p>
            <w:pPr>
              <w:pStyle w:val="Compact"/>
            </w:pPr>
            <w:r>
              <w:t xml:space="preserve">Operating cash flow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5.4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6.2B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Free cash flow*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2.15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2.45B</w:t>
            </w:r>
          </w:p>
        </w:tc>
      </w:tr>
    </w:tbl>
    <w:p>
      <w:pPr>
        <w:pStyle w:val="BodyText"/>
      </w:pPr>
      <w:r>
        <w:t xml:space="preserve">*Excluding restructuring-related payments.</w:t>
      </w:r>
    </w:p>
    <w:p>
      <w:pPr>
        <w:pStyle w:val="BodyText"/>
      </w:pPr>
      <w:r>
        <w:t xml:space="preserve">Management raised revenue by $100 million at the midpoint and EBITDA by $50 million, while also increasing gross rental CapEx by $100 million. That combination is important: URI saw enough demand to invest more fleet, but did</w:t>
      </w:r>
      <w:r>
        <w:t xml:space="preserve"> </w:t>
      </w:r>
      <w:r>
        <w:rPr>
          <w:b/>
          <w:bCs/>
        </w:rPr>
        <w:t xml:space="preserve">not</w:t>
      </w:r>
      <w:r>
        <w:t xml:space="preserve"> </w:t>
      </w:r>
      <w:r>
        <w:t xml:space="preserve">allow the added growth investment to diminish its free-cash-flow outlook.</w:t>
      </w:r>
    </w:p>
    <w:bookmarkStart w:id="16" w:name="preview-takeaway-on-guidance"/>
    <w:p>
      <w:pPr>
        <w:pStyle w:val="Heading3"/>
      </w:pPr>
      <w:r>
        <w:t xml:space="preserve">Preview takeaway on guidance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Bullish outcome:</w:t>
      </w:r>
      <w:r>
        <w:t xml:space="preserve"> </w:t>
      </w:r>
      <w:r>
        <w:t xml:space="preserve">another guide increase, or language that clearly points to the upper half of the ranges.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Constructive/in-line outcome:</w:t>
      </w:r>
      <w:r>
        <w:t xml:space="preserve"> </w:t>
      </w:r>
      <w:r>
        <w:t xml:space="preserve">guidance maintained, with positive commentary on fleet productivity, large-project conversion, and cost controls.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Disappointing outcome:</w:t>
      </w:r>
      <w:r>
        <w:t xml:space="preserve"> </w:t>
      </w:r>
      <w:r>
        <w:t xml:space="preserve">guidance maintained or narrowed due to delivery costs, weaker local markets, pricing pressure, used-equipment concerns, or a more cautious view on project timing.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8" w:name="Xc332c66c605a2588cfd2cb051cae966c27fd97e"/>
    <w:p>
      <w:pPr>
        <w:pStyle w:val="Heading2"/>
      </w:pPr>
      <w:r>
        <w:t xml:space="preserve">Free cash flow and capital allocation: do not overreact to quarterly FCF seasonality</w:t>
      </w:r>
    </w:p>
    <w:p>
      <w:pPr>
        <w:pStyle w:val="FirstParagraph"/>
      </w:pPr>
      <w:r>
        <w:t xml:space="preserve">URI’s business naturally requires heavy fleet investment during the construction season. In 2Q25, free cash flow was only</w:t>
      </w:r>
      <w:r>
        <w:t xml:space="preserve"> </w:t>
      </w:r>
      <w:r>
        <w:rPr>
          <w:b/>
          <w:bCs/>
        </w:rPr>
        <w:t xml:space="preserve">$116M</w:t>
      </w:r>
      <w:r>
        <w:t xml:space="preserve">, despite $1.328B of operating cash flow, because gross rental-equipment purchases were $1.460B during the quarter.</w:t>
      </w:r>
    </w:p>
    <w:p>
      <w:pPr>
        <w:pStyle w:val="BodyText"/>
      </w:pPr>
      <w:r>
        <w:t xml:space="preserve">Accordingly, investors should prioritize full-year cash-flow confidence over the quarterly free-cash-flow print. The more relevant items are:</w:t>
      </w:r>
    </w:p>
    <w:p>
      <w:pPr>
        <w:pStyle w:val="Compact"/>
        <w:numPr>
          <w:ilvl w:val="0"/>
          <w:numId w:val="1008"/>
        </w:numPr>
      </w:pPr>
      <w:r>
        <w:t xml:space="preserve">Whether gross CapEx remains aligned with actual demand;</w:t>
      </w:r>
    </w:p>
    <w:p>
      <w:pPr>
        <w:pStyle w:val="Compact"/>
        <w:numPr>
          <w:ilvl w:val="0"/>
          <w:numId w:val="1008"/>
        </w:numPr>
      </w:pPr>
      <w:r>
        <w:t xml:space="preserve">Used-equipment sale proceeds and recovery rates;</w:t>
      </w:r>
    </w:p>
    <w:p>
      <w:pPr>
        <w:pStyle w:val="Compact"/>
        <w:numPr>
          <w:ilvl w:val="0"/>
          <w:numId w:val="1008"/>
        </w:numPr>
      </w:pPr>
      <w:r>
        <w:t xml:space="preserve">The cadence of fleet purchases relative to guidance;</w:t>
      </w:r>
    </w:p>
    <w:p>
      <w:pPr>
        <w:pStyle w:val="Compact"/>
        <w:numPr>
          <w:ilvl w:val="0"/>
          <w:numId w:val="1008"/>
        </w:numPr>
      </w:pPr>
      <w:r>
        <w:t xml:space="preserve">Net leverage and liquidity;</w:t>
      </w:r>
    </w:p>
    <w:p>
      <w:pPr>
        <w:pStyle w:val="Compact"/>
        <w:numPr>
          <w:ilvl w:val="0"/>
          <w:numId w:val="1008"/>
        </w:numPr>
      </w:pPr>
      <w:r>
        <w:t xml:space="preserve">Execution against the planned</w:t>
      </w:r>
      <w:r>
        <w:t xml:space="preserve"> </w:t>
      </w:r>
      <w:r>
        <w:rPr>
          <w:b/>
          <w:bCs/>
        </w:rPr>
        <w:t xml:space="preserve">$1.5B</w:t>
      </w:r>
      <w:r>
        <w:t xml:space="preserve"> </w:t>
      </w:r>
      <w:r>
        <w:t xml:space="preserve">of 2026 repurchases.</w:t>
      </w:r>
    </w:p>
    <w:p>
      <w:pPr>
        <w:pStyle w:val="FirstParagraph"/>
      </w:pPr>
      <w:r>
        <w:t xml:space="preserve">URI entered 2Q with</w:t>
      </w:r>
      <w:r>
        <w:t xml:space="preserve"> </w:t>
      </w:r>
      <w:r>
        <w:rPr>
          <w:b/>
          <w:bCs/>
        </w:rPr>
        <w:t xml:space="preserve">1.9x net leverage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$3.377B</w:t>
      </w:r>
      <w:r>
        <w:t xml:space="preserve"> </w:t>
      </w:r>
      <w:r>
        <w:t xml:space="preserve">of liquidity. In June, it also extended its receivables facility through June 2027, a modestly positive liquidity housekeeping item rather than a change to the core operating thesis.</w:t>
      </w:r>
    </w:p>
    <w:p>
      <w:r>
        <w:pict>
          <v:rect style="width:0;height:1.5pt" o:hralign="center" o:hrstd="t" o:hr="t"/>
        </w:pict>
      </w:r>
    </w:p>
    <w:bookmarkEnd w:id="18"/>
    <w:bookmarkStart w:id="19" w:name="Xe6a43b892b5dfbe8b8d1051c3a9346a621a1f53"/>
    <w:p>
      <w:pPr>
        <w:pStyle w:val="Heading2"/>
      </w:pPr>
      <w:r>
        <w:t xml:space="preserve">Used equipment: a quiet but meaningful swing factor</w:t>
      </w:r>
    </w:p>
    <w:p>
      <w:pPr>
        <w:pStyle w:val="FirstParagraph"/>
      </w:pPr>
      <w:r>
        <w:t xml:space="preserve">Management expects approximately</w:t>
      </w:r>
      <w:r>
        <w:t xml:space="preserve"> </w:t>
      </w:r>
      <m:oMath>
        <m:r>
          <m:t>2.8</m:t>
        </m:r>
        <m:r>
          <m:t>B</m:t>
        </m:r>
        <m:r>
          <m:t>o</m:t>
        </m:r>
        <m:r>
          <m:t>f</m:t>
        </m:r>
        <m:r>
          <m:t>O</m:t>
        </m:r>
        <m:r>
          <m:t>E</m:t>
        </m:r>
        <m:r>
          <m:t>C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t</m:t>
        </m:r>
        <m:r>
          <m:t>o</m:t>
        </m:r>
        <m:r>
          <m:t>b</m:t>
        </m:r>
        <m:r>
          <m:t>e</m:t>
        </m:r>
        <m:r>
          <m:t>s</m:t>
        </m:r>
        <m:r>
          <m:t>o</m:t>
        </m:r>
        <m:r>
          <m:t>l</m:t>
        </m:r>
        <m:r>
          <m:t>d</m:t>
        </m:r>
        <m:r>
          <m:t>i</m:t>
        </m:r>
        <m:r>
          <m:t>n</m:t>
        </m:r>
        <m:r>
          <m:t>2026</m:t>
        </m:r>
        <m:r>
          <m:rPr>
            <m:sty m:val="p"/>
          </m:rPr>
          <m:t>,</m:t>
        </m:r>
        <m:r>
          <m:t>w</m:t>
        </m:r>
        <m:r>
          <m:t>h</m:t>
        </m:r>
        <m:r>
          <m:t>i</m:t>
        </m:r>
        <m:r>
          <m:t>l</m:t>
        </m:r>
        <m:r>
          <m:t>e</m:t>
        </m:r>
        <m:r>
          <m:t>g</m:t>
        </m:r>
        <m:r>
          <m:t>u</m:t>
        </m:r>
        <m:r>
          <m:t>i</m:t>
        </m:r>
        <m:r>
          <m:t>d</m:t>
        </m:r>
        <m:r>
          <m:t>a</m:t>
        </m:r>
        <m:r>
          <m:t>n</m:t>
        </m:r>
        <m:r>
          <m:t>c</m:t>
        </m:r>
        <m:r>
          <m:t>e</m:t>
        </m:r>
        <m:r>
          <m:t>a</m:t>
        </m:r>
        <m:r>
          <m:t>s</m:t>
        </m:r>
        <m:r>
          <m:t>s</m:t>
        </m:r>
        <m:r>
          <m:t>u</m:t>
        </m:r>
        <m:r>
          <m:t>m</m:t>
        </m:r>
        <m:r>
          <m:t>e</m:t>
        </m:r>
        <m:r>
          <m:t>s</m:t>
        </m:r>
        <m:r>
          <m:t>r</m:t>
        </m:r>
        <m:r>
          <m:t>o</m:t>
        </m:r>
        <m:r>
          <m:t>u</m:t>
        </m:r>
        <m:r>
          <m:t>g</m:t>
        </m:r>
        <m:r>
          <m:t>h</m:t>
        </m:r>
        <m:r>
          <m:t>l</m:t>
        </m:r>
        <m:r>
          <m:t>y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rPr>
          <w:b/>
          <w:bCs/>
        </w:rPr>
        <w:t xml:space="preserve">1.45B</w:t>
      </w:r>
      <w:r>
        <w:t xml:space="preserve"> </w:t>
      </w:r>
      <w:r>
        <w:t xml:space="preserve">of used-equipment sale proceeds. In 1Q, URI sold $680M of OEC and generated $350M of proceeds at a</w:t>
      </w:r>
      <w:r>
        <w:t xml:space="preserve"> </w:t>
      </w:r>
      <w:r>
        <w:rPr>
          <w:b/>
          <w:bCs/>
        </w:rPr>
        <w:t xml:space="preserve">51.5% recovery rate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47.4% adjusted gross margin</w:t>
      </w:r>
      <w:r>
        <w:t xml:space="preserve">.</w:t>
      </w:r>
    </w:p>
    <w:p>
      <w:pPr>
        <w:pStyle w:val="BodyText"/>
      </w:pPr>
      <w:r>
        <w:t xml:space="preserve">The used market supports fleet rotation, CapEx discipline, and cash generation. Watch for:</w:t>
      </w:r>
    </w:p>
    <w:p>
      <w:pPr>
        <w:pStyle w:val="Compact"/>
        <w:numPr>
          <w:ilvl w:val="0"/>
          <w:numId w:val="1009"/>
        </w:numPr>
      </w:pPr>
      <w:r>
        <w:t xml:space="preserve">Recovery-rate stability;</w:t>
      </w:r>
    </w:p>
    <w:p>
      <w:pPr>
        <w:pStyle w:val="Compact"/>
        <w:numPr>
          <w:ilvl w:val="0"/>
          <w:numId w:val="1009"/>
        </w:numPr>
      </w:pPr>
      <w:r>
        <w:t xml:space="preserve">Used-sale margin versus 1Q;</w:t>
      </w:r>
    </w:p>
    <w:p>
      <w:pPr>
        <w:pStyle w:val="Compact"/>
        <w:numPr>
          <w:ilvl w:val="0"/>
          <w:numId w:val="1009"/>
        </w:numPr>
      </w:pPr>
      <w:r>
        <w:t xml:space="preserve">Any indication of pricing normalization or pressure;</w:t>
      </w:r>
    </w:p>
    <w:p>
      <w:pPr>
        <w:pStyle w:val="Compact"/>
        <w:numPr>
          <w:ilvl w:val="0"/>
          <w:numId w:val="1009"/>
        </w:numPr>
      </w:pPr>
      <w:r>
        <w:t xml:space="preserve">Whether management remains confident in the annual disposal target.</w:t>
      </w:r>
    </w:p>
    <w:p>
      <w:pPr>
        <w:pStyle w:val="FirstParagraph"/>
      </w:pPr>
      <w:r>
        <w:t xml:space="preserve">A weaker used-equipment market would not necessarily break the growth thesis, but it could pressure cash conversion and reported margins.</w:t>
      </w:r>
    </w:p>
    <w:p>
      <w:r>
        <w:pict>
          <v:rect style="width:0;height:1.5pt" o:hralign="center" o:hrstd="t" o:hr="t"/>
        </w:pict>
      </w:r>
    </w:p>
    <w:bookmarkEnd w:id="19"/>
    <w:bookmarkStart w:id="20" w:name="investor-dashboard-for-the-print"/>
    <w:p>
      <w:pPr>
        <w:pStyle w:val="Heading2"/>
      </w:pPr>
      <w:r>
        <w:t xml:space="preserve">Investor dashboard for the print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Area</w:t>
            </w:r>
          </w:p>
        </w:tc>
        <w:tc>
          <w:tcPr/>
          <w:p>
            <w:pPr>
              <w:pStyle w:val="Compact"/>
            </w:pPr>
            <w:r>
              <w:t xml:space="preserve">Constructive signal</w:t>
            </w:r>
          </w:p>
        </w:tc>
        <w:tc>
          <w:tcPr/>
          <w:p>
            <w:pPr>
              <w:pStyle w:val="Compact"/>
            </w:pPr>
            <w:r>
              <w:t xml:space="preserve">Risk signal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Rental revenue</w:t>
            </w:r>
          </w:p>
        </w:tc>
        <w:tc>
          <w:tcPr/>
          <w:p>
            <w:pPr>
              <w:pStyle w:val="Compact"/>
            </w:pPr>
            <w:r>
              <w:t xml:space="preserve">Growth holds near the strong 1Q trajectory</w:t>
            </w:r>
          </w:p>
        </w:tc>
        <w:tc>
          <w:tcPr/>
          <w:p>
            <w:pPr>
              <w:pStyle w:val="Compact"/>
            </w:pPr>
            <w:r>
              <w:t xml:space="preserve">Material deceleration without a clear timing explanation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Fleet productivity</w:t>
            </w:r>
          </w:p>
        </w:tc>
        <w:tc>
          <w:tcPr/>
          <w:p>
            <w:pPr>
              <w:pStyle w:val="Compact"/>
            </w:pPr>
            <w:r>
              <w:t xml:space="preserve">Positive and above inflation</w:t>
            </w:r>
          </w:p>
        </w:tc>
        <w:tc>
          <w:tcPr/>
          <w:p>
            <w:pPr>
              <w:pStyle w:val="Compact"/>
            </w:pPr>
            <w:r>
              <w:t xml:space="preserve">Near-zero/negative productivity, weak rate or adverse mix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General Rentals margin</w:t>
            </w:r>
          </w:p>
        </w:tc>
        <w:tc>
          <w:tcPr/>
          <w:p>
            <w:pPr>
              <w:pStyle w:val="Compact"/>
            </w:pPr>
            <w:r>
              <w:t xml:space="preserve">Sustained cost leverage</w:t>
            </w:r>
          </w:p>
        </w:tc>
        <w:tc>
          <w:tcPr/>
          <w:p>
            <w:pPr>
              <w:pStyle w:val="Compact"/>
            </w:pPr>
            <w:r>
              <w:t xml:space="preserve">Delivery/labor costs reverse 1Q progress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Specialty</w:t>
            </w:r>
          </w:p>
        </w:tc>
        <w:tc>
          <w:tcPr/>
          <w:p>
            <w:pPr>
              <w:pStyle w:val="Compact"/>
            </w:pPr>
            <w:r>
              <w:t xml:space="preserve">Double-digit growth with narrowing margin drag</w:t>
            </w:r>
          </w:p>
        </w:tc>
        <w:tc>
          <w:tcPr/>
          <w:p>
            <w:pPr>
              <w:pStyle w:val="Compact"/>
            </w:pPr>
            <w:r>
              <w:t xml:space="preserve">Growth remains expensive due to delivery, repositioning, and depreciation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Large projects</w:t>
            </w:r>
          </w:p>
        </w:tc>
        <w:tc>
          <w:tcPr/>
          <w:p>
            <w:pPr>
              <w:pStyle w:val="Compact"/>
            </w:pPr>
            <w:r>
              <w:t xml:space="preserve">Strong pipeline, conversion, broad non-res demand</w:t>
            </w:r>
          </w:p>
        </w:tc>
        <w:tc>
          <w:tcPr/>
          <w:p>
            <w:pPr>
              <w:pStyle w:val="Compact"/>
            </w:pPr>
            <w:r>
              <w:t xml:space="preserve">Delays, concentration concerns, or lower utilization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Guidance</w:t>
            </w:r>
          </w:p>
        </w:tc>
        <w:tc>
          <w:tcPr/>
          <w:p>
            <w:pPr>
              <w:pStyle w:val="Compact"/>
            </w:pPr>
            <w:r>
              <w:t xml:space="preserve">Raised or confidence in upper half</w:t>
            </w:r>
          </w:p>
        </w:tc>
        <w:tc>
          <w:tcPr/>
          <w:p>
            <w:pPr>
              <w:pStyle w:val="Compact"/>
            </w:pPr>
            <w:r>
              <w:t xml:space="preserve">Narrowed/risk-weighted commentary despite a beat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CapEx / used sales</w:t>
            </w:r>
          </w:p>
        </w:tc>
        <w:tc>
          <w:tcPr/>
          <w:p>
            <w:pPr>
              <w:pStyle w:val="Compact"/>
            </w:pPr>
            <w:r>
              <w:t xml:space="preserve">Demand-backed CapEx and stable recovery</w:t>
            </w:r>
          </w:p>
        </w:tc>
        <w:tc>
          <w:tcPr/>
          <w:p>
            <w:pPr>
              <w:pStyle w:val="Compact"/>
            </w:pPr>
            <w:r>
              <w:t xml:space="preserve">CapEx rises without corresponding demand or used-market softening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Capital returns</w:t>
            </w:r>
          </w:p>
        </w:tc>
        <w:tc>
          <w:tcPr/>
          <w:p>
            <w:pPr>
              <w:pStyle w:val="Compact"/>
            </w:pPr>
            <w:r>
              <w:t xml:space="preserve">Repurchase plan remains on track</w:t>
            </w:r>
          </w:p>
        </w:tc>
        <w:tc>
          <w:tcPr/>
          <w:p>
            <w:pPr>
              <w:pStyle w:val="Compact"/>
            </w:pPr>
            <w:r>
              <w:t xml:space="preserve">Reduced buyback confidence or leverage deterioration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questions-i-would-ask-management"/>
    <w:p>
      <w:pPr>
        <w:pStyle w:val="Heading2"/>
      </w:pPr>
      <w:r>
        <w:t xml:space="preserve">Questions I would ask management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Fleet productivity:</w:t>
      </w:r>
      <w:r>
        <w:t xml:space="preserve"> </w:t>
      </w:r>
      <w:r>
        <w:t xml:space="preserve">How did pricing, utilization, and mix trend through the quarter, and has fleet productivity remained above the 1.5% inflation hurdle?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Margins:</w:t>
      </w:r>
      <w:r>
        <w:t xml:space="preserve"> </w:t>
      </w:r>
      <w:r>
        <w:t xml:space="preserve">Can the 1Q improvement in General Rentals delivery, labor, and repair-and-maintenance costs be sustained through the seasonal peak?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Specialty:</w:t>
      </w:r>
      <w:r>
        <w:t xml:space="preserve"> </w:t>
      </w:r>
      <w:r>
        <w:t xml:space="preserve">What is the expected cadence for Specialty-margin recovery, and how much of its current margin pressure remains attributable to repositioning?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Demand:</w:t>
      </w:r>
      <w:r>
        <w:t xml:space="preserve"> </w:t>
      </w:r>
      <w:r>
        <w:t xml:space="preserve">Has the large-project pipeline strengthened, stayed stable, or shifted in timing since April? How broad is growth outside data centers?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Local markets:</w:t>
      </w:r>
      <w:r>
        <w:t xml:space="preserve"> </w:t>
      </w:r>
      <w:r>
        <w:t xml:space="preserve">Are local markets still broadly stable, and where—if anywhere—are smaller contractors becoming more cautious?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CapEx:</w:t>
      </w:r>
      <w:r>
        <w:t xml:space="preserve"> </w:t>
      </w:r>
      <w:r>
        <w:t xml:space="preserve">Does the elevated gross CapEx plan reflect firm project awards and fleet shortages, or is it primarily anticipatory?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Used equipment:</w:t>
      </w:r>
      <w:r>
        <w:t xml:space="preserve"> </w:t>
      </w:r>
      <w:r>
        <w:t xml:space="preserve">Are recovery rates and buyer demand still consistent with the company’s planned fleet-sale assumptions?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Restructuring:</w:t>
      </w:r>
      <w:r>
        <w:t xml:space="preserve"> </w:t>
      </w:r>
      <w:r>
        <w:t xml:space="preserve">How much of the expected</w:t>
      </w:r>
      <w:r>
        <w:t xml:space="preserve"> </w:t>
      </w:r>
      <m:oMath>
        <m:r>
          <m:t>45</m:t>
        </m:r>
        <m:r>
          <m:t>M</m:t>
        </m:r>
        <m:r>
          <m:rPr>
            <m:sty m:val="p"/>
          </m:rPr>
          <m:t>–</m:t>
        </m:r>
      </m:oMath>
      <w:r>
        <w:t xml:space="preserve">50M of 2026 savings has been realized, and what is the expected benefit cadence in 2H?</w:t>
      </w:r>
    </w:p>
    <w:p>
      <w:r>
        <w:pict>
          <v:rect style="width:0;height:1.5pt" o:hralign="center" o:hrstd="t" o:hr="t"/>
        </w:pict>
      </w:r>
    </w:p>
    <w:bookmarkEnd w:id="21"/>
    <w:bookmarkStart w:id="23" w:name="investment-framing-into-the-event"/>
    <w:p>
      <w:pPr>
        <w:pStyle w:val="Heading2"/>
      </w:pPr>
      <w:r>
        <w:t xml:space="preserve">Investment framing into the event</w:t>
      </w:r>
    </w:p>
    <w:p>
      <w:pPr>
        <w:pStyle w:val="FirstParagraph"/>
      </w:pPr>
      <w:r>
        <w:rPr>
          <w:b/>
          <w:bCs/>
        </w:rPr>
        <w:t xml:space="preserve">The bull case:</w:t>
      </w:r>
      <w:r>
        <w:t xml:space="preserve"> </w:t>
      </w:r>
      <w:r>
        <w:t xml:space="preserve">URI is entering the heart of the season with favorable supply/demand, high utilization, positive pricing, broad large-project activity, fast-growing Specialty operations, and increasingly visible cost control. If these conditions persist, 2026 guidance may still prove conservative.</w:t>
      </w:r>
    </w:p>
    <w:p>
      <w:pPr>
        <w:pStyle w:val="BodyText"/>
      </w:pPr>
      <w:r>
        <w:rPr>
          <w:b/>
          <w:bCs/>
        </w:rPr>
        <w:t xml:space="preserve">The bear case:</w:t>
      </w:r>
      <w:r>
        <w:t xml:space="preserve"> </w:t>
      </w:r>
      <w:r>
        <w:t xml:space="preserve">The company is operating at high activity levels, where delivery/repositioning complexity and ancillary mix can dilute margins. At the same time, year-ago comparisons are firm, the stock has already rerated materially since the April report, and investors may demand a clearer guide-up path rather than simply solid execution.</w:t>
      </w:r>
    </w:p>
    <w:p>
      <w:pPr>
        <w:pStyle w:val="BodyText"/>
      </w:pPr>
      <w:r>
        <w:rPr>
          <w:b/>
          <w:bCs/>
        </w:rPr>
        <w:t xml:space="preserve">What matters most:</w:t>
      </w:r>
      <w:r>
        <w:t xml:space="preserve"> </w:t>
      </w:r>
      <w:r>
        <w:t xml:space="preserve">I would rank the report’s decision variables as</w:t>
      </w:r>
      <w:r>
        <w:t xml:space="preserve"> </w:t>
      </w:r>
      <w:r>
        <w:rPr>
          <w:b/>
          <w:bCs/>
        </w:rPr>
        <w:t xml:space="preserve">(1) fleet productivity, (2) rental-margin performance—especially delivery costs, (3) confidence in full-year guidance, and (4) the quality of Specialty growth</w:t>
      </w:r>
      <w:r>
        <w:t xml:space="preserve">. EPS and quarterly free cash flow matter, but they are less informative than those operating indicators.</w:t>
      </w:r>
    </w:p>
    <w:bookmarkStart w:id="22" w:name="sources-reviewed"/>
    <w:p>
      <w:pPr>
        <w:pStyle w:val="Heading3"/>
      </w:pPr>
      <w:r>
        <w:t xml:space="preserve">Sources reviewed</w:t>
      </w:r>
    </w:p>
    <w:p>
      <w:pPr>
        <w:pStyle w:val="Compact"/>
        <w:numPr>
          <w:ilvl w:val="0"/>
          <w:numId w:val="1011"/>
        </w:numPr>
      </w:pPr>
      <w:r>
        <w:t xml:space="preserve">United Rentals 1Q26 earnings release and earnings-call transcript</w:t>
      </w:r>
    </w:p>
    <w:p>
      <w:pPr>
        <w:pStyle w:val="Compact"/>
        <w:numPr>
          <w:ilvl w:val="0"/>
          <w:numId w:val="1011"/>
        </w:numPr>
      </w:pPr>
      <w:r>
        <w:t xml:space="preserve">United Rentals 2Q25 earnings release</w:t>
      </w:r>
    </w:p>
    <w:p>
      <w:pPr>
        <w:pStyle w:val="Compact"/>
        <w:numPr>
          <w:ilvl w:val="0"/>
          <w:numId w:val="1011"/>
        </w:numPr>
      </w:pPr>
      <w:r>
        <w:t xml:space="preserve">United Rentals June 18, 2026 8-K</w:t>
      </w:r>
    </w:p>
    <w:p>
      <w:pPr>
        <w:pStyle w:val="Compact"/>
        <w:numPr>
          <w:ilvl w:val="0"/>
          <w:numId w:val="1011"/>
        </w:numPr>
      </w:pPr>
      <w:r>
        <w:t xml:space="preserve">URI historical closing-price data through July 21, 2026</w:t>
      </w:r>
    </w:p>
    <w:bookmarkEnd w:id="22"/>
    <w:bookmarkEnd w:id="23"/>
    <w:bookmarkEnd w:id="2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2026-07-22T01:08:12Z</dcterms:created>
  <dcterms:modified xsi:type="dcterms:W3CDTF">2026-07-22T01:08:12Z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