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AAPL before writing the preview. Let me gather recent earnings history, guidance, news, and price action.Let me read the most recent quarter's guidance and the year-ago comparison quarter.Let me compute the key setup numbers and price performance.# Apple (AAPL) — Q3 FY2026 Earnings Preview</w:t>
      </w:r>
    </w:p>
    <w:bookmarkStart w:id="9" w:name="Xd9fe59a1a57e00d8f4337d3c81e9e481887c633"/>
    <w:p>
      <w:pPr>
        <w:pStyle w:val="Heading3"/>
      </w:pPr>
      <w:r>
        <w:t xml:space="preserve">Reports Thursday, July 30, 2026, after market close | Fiscal Q3 (June quarter)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Apple heads into its most-watched print in years riding a historic rally, an elevated valuation, and a leadership handoff — while a memory-cost cliff looms over the back half of the year.</w:t>
      </w:r>
      <w:r>
        <w:t xml:space="preserve"> </w:t>
      </w:r>
      <w:r>
        <w:rPr>
          <w:b/>
          <w:bCs/>
        </w:rPr>
        <w:t xml:space="preserve">This is Tim Cook's final earnings call as CEO; John Ternus takes over September 1.</w:t>
      </w:r>
      <w:r>
        <w:t xml:space="preserve"> </w:t>
      </w:r>
      <w:r>
        <w:t xml:space="preserve">The bar on fundamentals is high, but sentiment is doing a lot of the heavy lifting.</w:t>
      </w:r>
    </w:p>
    <w:p>
      <w:r>
        <w:pict>
          <v:rect style="width:0;height:1.5pt" o:hralign="center" o:hrstd="t" o:hr="t"/>
        </w:pict>
      </w:r>
    </w:p>
    <w:bookmarkEnd w:id="10"/>
    <w:bookmarkStart w:id="11" w:name="where-the-stock-sits"/>
    <w:p>
      <w:pPr>
        <w:pStyle w:val="Heading2"/>
      </w:pPr>
      <w:r>
        <w:t xml:space="preserve">Where the stock sits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Price ~$341.60</w:t>
      </w:r>
      <w:r>
        <w:t xml:space="preserve">, up</w:t>
      </w:r>
      <w:r>
        <w:t xml:space="preserve"> </w:t>
      </w:r>
      <w:r>
        <w:rPr>
          <w:b/>
          <w:bCs/>
        </w:rPr>
        <w:t xml:space="preserve">~26% YTD</w:t>
      </w:r>
      <w:r>
        <w:t xml:space="preserve"> </w:t>
      </w:r>
      <w:r>
        <w:t xml:space="preserve">vs. ~+8% for the S&amp;P 500 — a rare year of Apple</w:t>
      </w:r>
      <w:r>
        <w:t xml:space="preserve"> </w:t>
      </w:r>
      <w:r>
        <w:rPr>
          <w:i/>
          <w:iCs/>
        </w:rPr>
        <w:t xml:space="preserve">leading</w:t>
      </w:r>
      <w:r>
        <w:t xml:space="preserve"> </w:t>
      </w:r>
      <w:r>
        <w:t xml:space="preserve">the mega-caps.</w:t>
      </w:r>
    </w:p>
    <w:p>
      <w:pPr>
        <w:pStyle w:val="Compact"/>
        <w:numPr>
          <w:ilvl w:val="0"/>
          <w:numId w:val="1001"/>
        </w:numPr>
      </w:pPr>
      <w:r>
        <w:t xml:space="preserve">The stock</w:t>
      </w:r>
      <w:r>
        <w:t xml:space="preserve"> </w:t>
      </w:r>
      <w:r>
        <w:rPr>
          <w:b/>
          <w:bCs/>
        </w:rPr>
        <w:t xml:space="preserve">briefly touched a $5 trillion market cap</w:t>
      </w:r>
      <w:r>
        <w:t xml:space="preserve"> </w:t>
      </w:r>
      <w:r>
        <w:t xml:space="preserve">this week — only the second company ever to do so, after Nvidia — before slipping just below it.</w:t>
      </w:r>
    </w:p>
    <w:p>
      <w:pPr>
        <w:pStyle w:val="Compact"/>
        <w:numPr>
          <w:ilvl w:val="0"/>
          <w:numId w:val="1001"/>
        </w:numPr>
      </w:pPr>
      <w:r>
        <w:t xml:space="preserve">Apple now trades at</w:t>
      </w:r>
      <w:r>
        <w:t xml:space="preserve"> </w:t>
      </w:r>
      <w:r>
        <w:rPr>
          <w:b/>
          <w:bCs/>
        </w:rPr>
        <w:t xml:space="preserve">~35x forward earnings, its richest multiple since ~2007.</w:t>
      </w:r>
    </w:p>
    <w:p>
      <w:pPr>
        <w:pStyle w:val="Compact"/>
        <w:numPr>
          <w:ilvl w:val="0"/>
          <w:numId w:val="1001"/>
        </w:numPr>
      </w:pPr>
      <w:r>
        <w:t xml:space="preserve">The rally has been driven less by earnings expectations and more by a</w:t>
      </w:r>
      <w:r>
        <w:t xml:space="preserve"> </w:t>
      </w:r>
      <w:r>
        <w:rPr>
          <w:b/>
          <w:bCs/>
        </w:rPr>
        <w:t xml:space="preserve">rotation into Apple as an "AI-safe" mega-cap</w:t>
      </w:r>
      <w:r>
        <w:t xml:space="preserve"> </w:t>
      </w:r>
      <w:r>
        <w:t xml:space="preserve">— investors see it as insulated from the hyperscaler capex/AI-spending cycle (Apple leans on Google's models rather than building out massive infrastructure) and free of pure-play chip supply risk.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Options are pricing a ~3.8% post-earnings move</w:t>
      </w:r>
      <w:r>
        <w:t xml:space="preserve"> </w:t>
      </w:r>
      <w:r>
        <w:t xml:space="preserve">— modest given the run-up, meaning the market isn't braced for a large surprise in either direction.</w:t>
      </w:r>
    </w:p>
    <w:p>
      <w:pPr>
        <w:pStyle w:val="FirstParagraph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Priced for good news. A solid beat may be met with a shrug; any crack in the margin/China/AI narrative could de-rate a stock trading at a 15-year valuation high.</w:t>
      </w:r>
    </w:p>
    <w:p>
      <w:r>
        <w:pict>
          <v:rect style="width:0;height:1.5pt" o:hralign="center" o:hrstd="t" o:hr="t"/>
        </w:pict>
      </w:r>
    </w:p>
    <w:bookmarkEnd w:id="11"/>
    <w:bookmarkStart w:id="12" w:name="consensus--guidance-math"/>
    <w:p>
      <w:pPr>
        <w:pStyle w:val="Heading2"/>
      </w:pPr>
      <w:r>
        <w:t xml:space="preserve">Consensus &amp; guidance math</w:t>
      </w:r>
    </w:p>
    <w:p>
      <w:pPr>
        <w:pStyle w:val="FirstParagraph"/>
      </w:pPr>
      <w:r>
        <w:t xml:space="preserve">Management's own guidance from the April (Q2) call frames the quarter: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Q3 FY26 Guide</w:t>
            </w:r>
          </w:p>
        </w:tc>
        <w:tc>
          <w:tcPr/>
          <w:p>
            <w:pPr>
              <w:pStyle w:val="Compact"/>
            </w:pPr>
            <w:r>
              <w:t xml:space="preserve">Year-ago (Q3 FY25)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+14% to +17% YoY → ~$107–110B</w:t>
            </w:r>
          </w:p>
        </w:tc>
        <w:tc>
          <w:tcPr/>
          <w:p>
            <w:pPr>
              <w:pStyle w:val="Compact"/>
            </w:pPr>
            <w:r>
              <w:t xml:space="preserve">$94.0B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47.5%–48.5%</w:t>
            </w:r>
          </w:p>
        </w:tc>
        <w:tc>
          <w:tcPr/>
          <w:p>
            <w:pPr>
              <w:pStyle w:val="Compact"/>
            </w:pPr>
            <w:r>
              <w:t xml:space="preserve">46.5%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expenses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$18.8–19.1B</w:t>
            </w:r>
          </w:p>
        </w:tc>
        <w:tc>
          <w:tcPr/>
          <w:p>
            <w:pPr>
              <w:pStyle w:val="Compact"/>
            </w:pPr>
            <w:r>
              <w:t xml:space="preserve">$15.5B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Services growth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~16% (≈13% ex-FX)</w:t>
            </w:r>
          </w:p>
        </w:tc>
        <w:tc>
          <w:tcPr/>
          <w:p>
            <w:pPr>
              <w:pStyle w:val="Compact"/>
            </w:pPr>
            <w:r>
              <w:t xml:space="preserve">+13%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 rate</w:t>
            </w:r>
          </w:p>
        </w:tc>
        <w:tc>
          <w:tcPr/>
          <w:p>
            <w:pPr>
              <w:pStyle w:val="Compact"/>
            </w:pPr>
            <w:r>
              <w:t xml:space="preserve">~17%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Compact"/>
        <w:numPr>
          <w:ilvl w:val="0"/>
          <w:numId w:val="1002"/>
        </w:numPr>
      </w:pPr>
      <w:r>
        <w:t xml:space="preserve">Street is looking for a</w:t>
      </w:r>
      <w:r>
        <w:t xml:space="preserve"> </w:t>
      </w:r>
      <w:r>
        <w:rPr>
          <w:b/>
          <w:bCs/>
        </w:rPr>
        <w:t xml:space="preserve">&gt;15% revenue jump</w:t>
      </w:r>
      <w:r>
        <w:t xml:space="preserve"> </w:t>
      </w:r>
      <w:r>
        <w:t xml:space="preserve">year-over-year.</w:t>
      </w:r>
    </w:p>
    <w:p>
      <w:pPr>
        <w:pStyle w:val="Compact"/>
        <w:numPr>
          <w:ilvl w:val="0"/>
          <w:numId w:val="1002"/>
        </w:numPr>
      </w:pPr>
      <w:r>
        <w:t xml:space="preserve">On midpoint assumptions (~$108.6B revenue, ~48% GM), **EPS lands around $1.85–1.90 vs. $1.57 a year ago (~18–20% growth).**</w:t>
      </w:r>
    </w:p>
    <w:p>
      <w:pPr>
        <w:pStyle w:val="Compact"/>
        <w:numPr>
          <w:ilvl w:val="0"/>
          <w:numId w:val="1002"/>
        </w:numPr>
      </w:pPr>
      <w:r>
        <w:t xml:space="preserve">Year-ago segment baseline to beat: iPhone $44.6B, Mac $8.0B, iPad $6.6B, Wearables/Home $7.4B, Services $27.4B, Greater China $15.4B.</w:t>
      </w:r>
    </w:p>
    <w:p>
      <w:r>
        <w:pict>
          <v:rect style="width:0;height:1.5pt" o:hralign="center" o:hrstd="t" o:hr="t"/>
        </w:pict>
      </w:r>
    </w:p>
    <w:bookmarkEnd w:id="12"/>
    <w:bookmarkStart w:id="18" w:name="the-five-things-that-actually-matter"/>
    <w:p>
      <w:pPr>
        <w:pStyle w:val="Heading2"/>
      </w:pPr>
      <w:r>
        <w:t xml:space="preserve">The five things that actually matter</w:t>
      </w:r>
    </w:p>
    <w:bookmarkStart w:id="13" w:name="Xdfcdcb764bc763dd8016565ee5b59f99cd9b89f"/>
    <w:p>
      <w:pPr>
        <w:pStyle w:val="Heading3"/>
      </w:pPr>
      <w:r>
        <w:t xml:space="preserve">1. Memory costs — the single biggest swing factor</w:t>
      </w:r>
    </w:p>
    <w:p>
      <w:pPr>
        <w:pStyle w:val="FirstParagraph"/>
      </w:pPr>
      <w:r>
        <w:t xml:space="preserve">This is the crux of the story. On the Q2 call, Cook laid out a clear escalation: minimal impact in Dec, "a bit more" in March, and</w:t>
      </w:r>
      <w:r>
        <w:t xml:space="preserve"> </w:t>
      </w:r>
      <w:r>
        <w:rPr>
          <w:b/>
          <w:bCs/>
        </w:rPr>
        <w:t xml:space="preserve">"significantly higher memory costs" embedded in the June-quarter guide</w:t>
      </w:r>
      <w:r>
        <w:t xml:space="preserve"> </w:t>
      </w:r>
      <w:r>
        <w:t xml:space="preserve">(partly cushioned by carry-in inventory). Critically, he said the impact will be</w:t>
      </w:r>
      <w:r>
        <w:t xml:space="preserve"> </w:t>
      </w:r>
      <w:r>
        <w:rPr>
          <w:b/>
          <w:bCs/>
        </w:rPr>
        <w:t xml:space="preserve">"increasing" beyond June</w:t>
      </w:r>
      <w:r>
        <w:t xml:space="preserve"> </w:t>
      </w:r>
      <w:r>
        <w:t xml:space="preserve">— a warning shot for H2 FY26 and FY27 margins. A global memory shortage has already forced Apple to</w:t>
      </w:r>
      <w:r>
        <w:t xml:space="preserve"> </w:t>
      </w:r>
      <w:r>
        <w:rPr>
          <w:b/>
          <w:bCs/>
        </w:rPr>
        <w:t xml:space="preserve">raise MacBook and iPad prices</w:t>
      </w:r>
      <w:r>
        <w:t xml:space="preserve">, and management is aggressively</w:t>
      </w:r>
      <w:r>
        <w:t xml:space="preserve"> </w:t>
      </w:r>
      <w:r>
        <w:rPr>
          <w:b/>
          <w:bCs/>
        </w:rPr>
        <w:t xml:space="preserve">lobbying the White House to use Chinese memory (CXMT/YMTC) for products sold outside the U.S.</w:t>
      </w:r>
      <w:r>
        <w:t xml:space="preserve"> </w:t>
      </w:r>
      <w:r>
        <w:t xml:space="preserve">— a move Micron is fighting. Watch the gross-margin guide for the September quarter closely; that number, more than the June beat, sets the tone.</w:t>
      </w:r>
    </w:p>
    <w:bookmarkEnd w:id="13"/>
    <w:bookmarkStart w:id="14" w:name="X8e92549ef66668f27d24d2add65ca1821e350eb"/>
    <w:p>
      <w:pPr>
        <w:pStyle w:val="Heading3"/>
      </w:pPr>
      <w:r>
        <w:t xml:space="preserve">2. Mac supply constraints could cap upside</w:t>
      </w:r>
    </w:p>
    <w:p>
      <w:pPr>
        <w:pStyle w:val="FirstParagraph"/>
      </w:pPr>
      <w:r>
        <w:t xml:space="preserve">Unusually, the June-quarter bottleneck is</w:t>
      </w:r>
      <w:r>
        <w:t xml:space="preserve"> </w:t>
      </w:r>
      <w:r>
        <w:rPr>
          <w:b/>
          <w:bCs/>
        </w:rPr>
        <w:t xml:space="preserve">Mac, not iPhone</w:t>
      </w:r>
      <w:r>
        <w:t xml:space="preserve">. Demand for Mac Mini, Mac Studio (both pitched as AI/agentic workhorses) and the new</w:t>
      </w:r>
      <w:r>
        <w:t xml:space="preserve"> </w:t>
      </w:r>
      <w:r>
        <w:rPr>
          <w:b/>
          <w:bCs/>
        </w:rPr>
        <w:t xml:space="preserve">MacBook Neo</w:t>
      </w:r>
      <w:r>
        <w:t xml:space="preserve"> </w:t>
      </w:r>
      <w:r>
        <w:t xml:space="preserve">has "off the charts," and Cook said Mini/Studio may take</w:t>
      </w:r>
      <w:r>
        <w:t xml:space="preserve"> </w:t>
      </w:r>
      <w:r>
        <w:rPr>
          <w:b/>
          <w:bCs/>
        </w:rPr>
        <w:t xml:space="preserve">several months to reach supply-demand balance.</w:t>
      </w:r>
      <w:r>
        <w:t xml:space="preserve"> </w:t>
      </w:r>
      <w:r>
        <w:t xml:space="preserve">Translation: Mac revenue may be gated by supply, not demand — a "good problem," but it can suppress the reported number.</w:t>
      </w:r>
    </w:p>
    <w:bookmarkEnd w:id="14"/>
    <w:bookmarkStart w:id="15" w:name="X82a529fd74204bdc6e6187ce63a64e84cc02dc3"/>
    <w:p>
      <w:pPr>
        <w:pStyle w:val="Heading3"/>
      </w:pPr>
      <w:r>
        <w:t xml:space="preserve">3. iPhone momentum &amp; durability</w:t>
      </w:r>
    </w:p>
    <w:p>
      <w:pPr>
        <w:pStyle w:val="FirstParagraph"/>
      </w:pPr>
      <w:r>
        <w:t xml:space="preserve">The iPhone 17 family drove</w:t>
      </w:r>
      <w:r>
        <w:t xml:space="preserve"> </w:t>
      </w:r>
      <w:r>
        <w:rPr>
          <w:b/>
          <w:bCs/>
        </w:rPr>
        <w:t xml:space="preserve">+22% iPhone growth in Q2</w:t>
      </w:r>
      <w:r>
        <w:t xml:space="preserve"> </w:t>
      </w:r>
      <w:r>
        <w:t xml:space="preserve">— the strongest cycle in Apple's history through the March quarter, with 99% U.S. customer satisfaction. The question is durability into the June quarter (and ahead of a fall lineup rumored to include a</w:t>
      </w:r>
      <w:r>
        <w:t xml:space="preserve"> </w:t>
      </w:r>
      <w:r>
        <w:rPr>
          <w:b/>
          <w:bCs/>
        </w:rPr>
        <w:t xml:space="preserve">foldable "iPhone Ultra"</w:t>
      </w:r>
      <w:r>
        <w:t xml:space="preserve">). Watch for any hint of demand pull-forward or slowing.</w:t>
      </w:r>
    </w:p>
    <w:bookmarkEnd w:id="15"/>
    <w:bookmarkStart w:id="16" w:name="X01e5d825a22d99ae1fb929dc93de10869408398"/>
    <w:p>
      <w:pPr>
        <w:pStyle w:val="Heading3"/>
      </w:pPr>
      <w:r>
        <w:t xml:space="preserve">4. China — the swing region</w:t>
      </w:r>
    </w:p>
    <w:p>
      <w:pPr>
        <w:pStyle w:val="FirstParagraph"/>
      </w:pPr>
      <w:r>
        <w:t xml:space="preserve">Greater China has flipped from headwind to tailwind:</w:t>
      </w:r>
      <w:r>
        <w:t xml:space="preserve"> </w:t>
      </w:r>
      <w:r>
        <w:rPr>
          <w:b/>
          <w:bCs/>
        </w:rPr>
        <w:t xml:space="preserve">+33% in H1, +28% in Q2</w:t>
      </w:r>
      <w:r>
        <w:t xml:space="preserve">, a March-quarter record. Sustaining double-digit China growth against tough local competition (Huawei, Xiaomi, Vivo) would be a major positive; deceleration would be a red flag given how much the bull case leans on it.</w:t>
      </w:r>
    </w:p>
    <w:bookmarkEnd w:id="16"/>
    <w:bookmarkStart w:id="17" w:name="Xb6fbd15e067e0d8f3194c286414d2833030c8be"/>
    <w:p>
      <w:pPr>
        <w:pStyle w:val="Heading3"/>
      </w:pPr>
      <w:r>
        <w:t xml:space="preserve">5. Services trajectory</w:t>
      </w:r>
    </w:p>
    <w:p>
      <w:pPr>
        <w:pStyle w:val="FirstParagraph"/>
      </w:pPr>
      <w:r>
        <w:t xml:space="preserve">Services hit an all-time high of</w:t>
      </w:r>
      <w:r>
        <w:t xml:space="preserve"> </w:t>
      </w:r>
      <w:r>
        <w:rPr>
          <w:b/>
          <w:bCs/>
        </w:rPr>
        <w:t xml:space="preserve">$31B in Q2 (+16%)</w:t>
      </w:r>
      <w:r>
        <w:t xml:space="preserve">. Guide implies ~16% again (~13% ex-FX). Watch the</w:t>
      </w:r>
      <w:r>
        <w:t xml:space="preserve"> </w:t>
      </w:r>
      <w:r>
        <w:rPr>
          <w:b/>
          <w:bCs/>
        </w:rPr>
        <w:t xml:space="preserve">new advertising ramp</w:t>
      </w:r>
      <w:r>
        <w:t xml:space="preserve"> </w:t>
      </w:r>
      <w:r>
        <w:t xml:space="preserve">(App Store search ads + Apple Maps ads launching this summer) and services gross margin (~77%), which is a key valuation-multiple support.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softer--strategic-watch-items"/>
    <w:p>
      <w:pPr>
        <w:pStyle w:val="Heading2"/>
      </w:pPr>
      <w:r>
        <w:t xml:space="preserve">Softer / strategic watch-items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CEO transition tone.</w:t>
      </w:r>
      <w:r>
        <w:t xml:space="preserve"> </w:t>
      </w:r>
      <w:r>
        <w:t xml:space="preserve">Cook's swan song. Listen for any strategic signaling from Ternus and reassurance on continuity of financial discipline.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AI / Siri.</w:t>
      </w:r>
      <w:r>
        <w:t xml:space="preserve"> </w:t>
      </w:r>
      <w:r>
        <w:t xml:space="preserve">Apple has promised a "more personalized Siri… coming this year" and is deepening its</w:t>
      </w:r>
      <w:r>
        <w:t xml:space="preserve"> </w:t>
      </w:r>
      <w:r>
        <w:rPr>
          <w:b/>
          <w:bCs/>
        </w:rPr>
        <w:t xml:space="preserve">Google model collaboration</w:t>
      </w:r>
      <w:r>
        <w:t xml:space="preserve"> </w:t>
      </w:r>
      <w:r>
        <w:t xml:space="preserve">while investing more (R&amp;D "accelerating"). Any concrete AI roadmap color matters given the "AI laggard" overhang.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Capital return.</w:t>
      </w:r>
      <w:r>
        <w:t xml:space="preserve"> </w:t>
      </w:r>
      <w:r>
        <w:t xml:space="preserve">Apple</w:t>
      </w:r>
      <w:r>
        <w:t xml:space="preserve"> </w:t>
      </w:r>
      <w:r>
        <w:rPr>
          <w:b/>
          <w:bCs/>
        </w:rPr>
        <w:t xml:space="preserve">dropped its formal net-cash-neutral target</w:t>
      </w:r>
      <w:r>
        <w:t xml:space="preserve">, added</w:t>
      </w:r>
      <w:r>
        <w:t xml:space="preserve"> </w:t>
      </w:r>
      <w:r>
        <w:rPr>
          <w:b/>
          <w:bCs/>
        </w:rPr>
        <w:t xml:space="preserve">$100B to buyback authorization</w:t>
      </w:r>
      <w:r>
        <w:t xml:space="preserve">, and raised the dividend 4% to $0.27. Watch buyback pace and whether the balance-sheet flexibility hints at larger AI/infrastructure spend or M&amp;A.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New product/monetization pushes: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Klarna "Apple Upgrade" leasing program</w:t>
      </w:r>
      <w:r>
        <w:t xml:space="preserve">, a fall</w:t>
      </w:r>
      <w:r>
        <w:t xml:space="preserve"> </w:t>
      </w:r>
      <w:r>
        <w:rPr>
          <w:b/>
          <w:bCs/>
        </w:rPr>
        <w:t xml:space="preserve">smart-home hub / new Apple TV / HomePod mini</w:t>
      </w:r>
      <w:r>
        <w:t xml:space="preserve"> </w:t>
      </w:r>
      <w:r>
        <w:t xml:space="preserve">push against Google Nest and Amazon Alexa, a sweeping</w:t>
      </w:r>
      <w:r>
        <w:t xml:space="preserve"> </w:t>
      </w:r>
      <w:r>
        <w:rPr>
          <w:b/>
          <w:bCs/>
        </w:rPr>
        <w:t xml:space="preserve">Mac refresh cycle</w:t>
      </w:r>
      <w:r>
        <w:t xml:space="preserve">, and</w:t>
      </w:r>
      <w:r>
        <w:t xml:space="preserve"> </w:t>
      </w:r>
      <w:r>
        <w:rPr>
          <w:b/>
          <w:bCs/>
        </w:rPr>
        <w:t xml:space="preserve">smart glasses targeted for WWDC 2027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Tariffs.</w:t>
      </w:r>
      <w:r>
        <w:t xml:space="preserve"> </w:t>
      </w:r>
      <w:r>
        <w:t xml:space="preserve">Guidance assumes current tariff rates hold; any refund reinvestment or policy shift is a wildcard.</w:t>
      </w:r>
    </w:p>
    <w:p>
      <w:r>
        <w:pict>
          <v:rect style="width:0;height:1.5pt" o:hralign="center" o:hrstd="t" o:hr="t"/>
        </w:pict>
      </w:r>
    </w:p>
    <w:bookmarkEnd w:id="19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Fundamentals look strong enough for another double-digit revenue beat, and the guidance framework points to ~18–20% EPS growth. But with the stock at a **~35x forward multiple, a $5T cap, and a leadership change**, the risk/reward is asymmetric: the September-quarter</w:t>
      </w:r>
      <w:r>
        <w:t xml:space="preserve"> </w:t>
      </w:r>
      <w:r>
        <w:rPr>
          <w:b/>
          <w:bCs/>
        </w:rPr>
        <w:t xml:space="preserve">gross-margin guide (memory costs)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China trajectory</w:t>
      </w:r>
      <w:r>
        <w:t xml:space="preserve"> </w:t>
      </w:r>
      <w:r>
        <w:t xml:space="preserve">will likely determine the reaction far more than the June headline. A clean quarter that also contains the memory narrative is what bulls need; anything that confirms an escalating margin squeeze into FY27 is the most likely source of disappointment at this valuation.</w:t>
      </w:r>
    </w:p>
    <w:p>
      <w:pPr>
        <w:pStyle w:val="BodyText"/>
      </w:pPr>
      <w:r>
        <w:rPr>
          <w:i/>
          <w:iCs/>
        </w:rPr>
        <w:t xml:space="preserve">Note: figures for Q3 FY2026 are estimates derived from Apple's prior guidance and year-ago actuals; the company reports actual results after the close on July 30.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2026-07-29T19:30:56Z</dcterms:created>
  <dcterms:modified xsi:type="dcterms:W3CDTF">2026-07-29T19:30:56Z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