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apl-earnings-predictions--2026-07-30"/>
    <w:p>
      <w:pPr>
        <w:pStyle w:val="Heading1"/>
      </w:pPr>
      <w:r>
        <w:t xml:space="preserve">AAPL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(Q3 FY26 / June quarter)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~$110.3B vs. cons $108.9B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~$1.94 vs. cons $1.89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iPhone Revenue (Q3 FY26)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~$56.0B vs. cons $54.8B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(Sept quarter) Revenue Growth YoY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~11% vs. cons ~9.5% (Sept-qtr 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Gross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~46.5%-47.3% (mid ~46.9%) vs. cons ~47.8% (Sept-qtr 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Q4 FY26 Operating Expenses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19.6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19.2B (Sept-qtr FY26, higher opex = unfavorable vs. Street)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+0.6%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AAPL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-1.8% (FADE)</w:t>
            </w:r>
          </w:p>
        </w:tc>
        <w:tc>
          <w:tcPr/>
          <w:p>
            <w:pPr>
              <w:pStyle w:val="Compact"/>
            </w:pPr>
            <w:r>
              <w:t xml:space="preserve">Headline revenue/EPS beat and iPhone strength drive an initial modest pop (helped by the emotional Cook farewell narrative), but the memory-cost-driven September-quarter gross margin guide below consensus forces sell-side FY26 EPS estimate cuts over the following days. With the stock priced at 35x+ forward earnings for a 'beat-and-raise,' a beat without a raise on margins triggers valuation-multiple compression as models get trimmed for the seasonally critical iPhone-launch quarter, producing a fade rather than follow-through.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2026-07-29T19:33:17Z</dcterms:created>
  <dcterms:modified xsi:type="dcterms:W3CDTF">2026-07-29T19:33:17Z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