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AAPL's recent financials, prior earnings commentary, and current news/analyst sentiment before writing the preview.# Apple (AAPL) Q3 FY2026 Earnings Preview</w:t>
      </w:r>
      <w:r>
        <w:t xml:space="preserve"> </w:t>
      </w:r>
      <w:r>
        <w:rPr>
          <w:b/>
          <w:bCs/>
        </w:rPr>
        <w:t xml:space="preserve">Report date:</w:t>
      </w:r>
      <w:r>
        <w:t xml:space="preserve"> </w:t>
      </w:r>
      <w:r>
        <w:t xml:space="preserve">Thursday, July 30, 2026, after market close |</w:t>
      </w:r>
      <w:r>
        <w:t xml:space="preserve"> </w:t>
      </w:r>
      <w:r>
        <w:rPr>
          <w:b/>
          <w:bCs/>
        </w:rPr>
        <w:t xml:space="preserve">Call:</w:t>
      </w:r>
      <w:r>
        <w:t xml:space="preserve"> </w:t>
      </w:r>
      <w:r>
        <w:t xml:space="preserve">5:00 PM ET</w:t>
      </w:r>
    </w:p>
    <w:p>
      <w:r>
        <w:pict>
          <v:rect style="width:0;height:1.5pt" o:hralign="center" o:hrstd="t" o:hr="t"/>
        </w:pict>
      </w:r>
    </w:p>
    <w:bookmarkStart w:id="9" w:name="the-big-picture-a-historic-call"/>
    <w:p>
      <w:pPr>
        <w:pStyle w:val="Heading2"/>
      </w:pPr>
      <w:r>
        <w:t xml:space="preserve">The Big Picture: A Historic Call</w:t>
      </w:r>
    </w:p>
    <w:p>
      <w:pPr>
        <w:pStyle w:val="FirstParagraph"/>
      </w:pPr>
      <w:r>
        <w:t xml:space="preserve">This is no ordinary print. Apple reached a $5 trillion market capitalization for the first time, coinciding with CEO Tim Cook's final earnings call as the company's leader. Apple's stock has gained about 25% so far this year, outperforming other "Magnificent 7" technology companies, and Apple became the most valuable company in the world earlier this month, overtaking Nvidia, which had been at the top since June 2025. Notably, Apple has benefited from strong demand for its products and its decision to skip the ongoing AI spending race among Big Tech rivals, relying instead on Google's AI technology to power new services such as a revamped Siri.</w:t>
      </w:r>
    </w:p>
    <w:p>
      <w:pPr>
        <w:pStyle w:val="BodyText"/>
      </w:pPr>
      <w:r>
        <w:t xml:space="preserve">Kevan Parekh will host his usual guidance discussion, but the emotional center of gravity is the leadership handoff: John Ternus formally becomes CEO on September 1, with Cook shifting to Executive Chairman.</w:t>
      </w:r>
    </w:p>
    <w:bookmarkEnd w:id="9"/>
    <w:bookmarkStart w:id="10" w:name="valuation-backdrop--the-bar-is-high"/>
    <w:p>
      <w:pPr>
        <w:pStyle w:val="Heading2"/>
      </w:pPr>
      <w:r>
        <w:t xml:space="preserve">Valuation Backdrop — The Bar Is High</w:t>
      </w:r>
    </w:p>
    <w:p>
      <w:pPr>
        <w:pStyle w:val="FirstParagraph"/>
      </w:pPr>
      <w:r>
        <w:t xml:space="preserve">Apple shares hit record all-time highs, with investors viewing the Cupertino titan as uniquely insulated from the AI capital expenditure cycles of mega-cap hyperscalers while avoiding supply chain exposure of pure-play chipmakers. The stock currently trades at 35x+ forward earnings—its highest valuation multiple since 2007. Yet options pricing reflects a modest post-earnings move of just 3.8%, making volatility premiums surprisingly reasonable across the board — traders don't expect fireworks, but a stretched multiple means limited room for disappointment. As one commentary framed it, the stock has traded well recently, driven less by expectations of strong financial results and more by investors fleeing AI-linked names, with Apple functioning as a large-cap shelter.</w:t>
      </w:r>
    </w:p>
    <w:bookmarkEnd w:id="10"/>
    <w:bookmarkStart w:id="11" w:name="consensus-numbers-vs-company-guidance"/>
    <w:p>
      <w:pPr>
        <w:pStyle w:val="Heading2"/>
      </w:pPr>
      <w:r>
        <w:t xml:space="preserve">Consensus Numbers vs. Company Guidance</w:t>
      </w:r>
    </w:p>
    <w:p>
      <w:pPr>
        <w:pStyle w:val="FirstParagraph"/>
      </w:pPr>
      <w:r>
        <w:t xml:space="preserve">On the Q2 call, CFO Kevan Parekh guided the June quarter to</w:t>
      </w:r>
      <w:r>
        <w:t xml:space="preserve"> </w:t>
      </w:r>
      <w:r>
        <w:rPr>
          <w:b/>
          <w:bCs/>
        </w:rPr>
        <w:t xml:space="preserve">14–17% total revenue growth year-over-year</w:t>
      </w:r>
      <w:r>
        <w:t xml:space="preserve">,</w:t>
      </w:r>
      <w:r>
        <w:t xml:space="preserve"> </w:t>
      </w:r>
      <w:r>
        <w:rPr>
          <w:b/>
          <w:bCs/>
        </w:rPr>
        <w:t xml:space="preserve">gross margin of 47.5%–48.5%</w:t>
      </w:r>
      <w:r>
        <w:t xml:space="preserve">,</w:t>
      </w:r>
      <w:r>
        <w:t xml:space="preserve"> </w:t>
      </w:r>
      <w:r>
        <w:rPr>
          <w:b/>
          <w:bCs/>
        </w:rPr>
        <w:t xml:space="preserve">opex of</w:t>
      </w:r>
      <w:r>
        <w:rPr>
          <w:b/>
          <w:bCs/>
        </w:rPr>
        <w:t xml:space="preserve"> </w:t>
      </w:r>
      <m:oMath>
        <m:r>
          <m:t>18.8</m:t>
        </m:r>
        <m:r>
          <m:t>B</m:t>
        </m:r>
        <m:r>
          <m:rPr>
            <m:sty m:val="p"/>
          </m:rPr>
          <m:t>–</m:t>
        </m:r>
      </m:oMath>
      <w:r>
        <w:rPr>
          <w:b/>
          <w:bCs/>
        </w:rPr>
        <w:t xml:space="preserve">19.1B</w:t>
      </w:r>
      <w:r>
        <w:t xml:space="preserve">,</w:t>
      </w:r>
      <w:r>
        <w:t xml:space="preserve"> </w:t>
      </w:r>
      <w:r>
        <w:rPr>
          <w:b/>
          <w:bCs/>
        </w:rPr>
        <w:t xml:space="preserve">OI&amp;E around $250M</w:t>
      </w:r>
      <w:r>
        <w:t xml:space="preserve">, and a</w:t>
      </w:r>
      <w:r>
        <w:t xml:space="preserve"> </w:t>
      </w:r>
      <w:r>
        <w:rPr>
          <w:b/>
          <w:bCs/>
        </w:rPr>
        <w:t xml:space="preserve">tax rate near 17%</w:t>
      </w:r>
      <w:r>
        <w:t xml:space="preserve">.</w:t>
      </w:r>
    </w:p>
    <w:p>
      <w:pPr>
        <w:pStyle w:val="BodyText"/>
      </w:pPr>
      <w:r>
        <w:t xml:space="preserve">Wall Street consensus has settled comfortably inside that range:</w:t>
      </w:r>
    </w:p>
    <w:p>
      <w:pPr>
        <w:pStyle w:val="Compact"/>
        <w:numPr>
          <w:ilvl w:val="0"/>
          <w:numId w:val="1001"/>
        </w:numPr>
      </w:pPr>
      <w:r>
        <w:rPr>
          <w:b/>
          <w:bCs/>
        </w:rPr>
        <w:t xml:space="preserve">Revenue:</w:t>
      </w:r>
      <w:r>
        <w:t xml:space="preserve"> </w:t>
      </w:r>
      <w:r>
        <w:t xml:space="preserve">roughly $108.9 billion (some estimates as high as $110B), consistent with reports showing revenue of approximately $108.9 billion, up about 16% from $94.0 billion a year earlier</w:t>
      </w:r>
    </w:p>
    <w:p>
      <w:pPr>
        <w:pStyle w:val="Compact"/>
        <w:numPr>
          <w:ilvl w:val="0"/>
          <w:numId w:val="1001"/>
        </w:numPr>
      </w:pPr>
      <w:r>
        <w:rPr>
          <w:b/>
          <w:bCs/>
        </w:rPr>
        <w:t xml:space="preserve">EPS:</w:t>
      </w:r>
      <w:r>
        <w:t xml:space="preserve"> </w:t>
      </w:r>
      <w:r>
        <w:t xml:space="preserve">diluted EPS of $1.89, up roughly 20% from $1.57 in the year-ago quarter</w:t>
      </w:r>
    </w:p>
    <w:p>
      <w:pPr>
        <w:pStyle w:val="Compact"/>
        <w:numPr>
          <w:ilvl w:val="0"/>
          <w:numId w:val="1001"/>
        </w:numPr>
      </w:pPr>
      <w:r>
        <w:rPr>
          <w:b/>
          <w:bCs/>
        </w:rPr>
        <w:t xml:space="preserve">iPhone:</w:t>
      </w:r>
      <w:r>
        <w:t xml:space="preserve"> </w:t>
      </w:r>
      <w:r>
        <w:t xml:space="preserve">one estimate puts iPhone revenue will go up by 23% to $54.8 billion, with a price-inelastic customer base helping expectations</w:t>
      </w:r>
    </w:p>
    <w:p>
      <w:pPr>
        <w:pStyle w:val="FirstParagraph"/>
      </w:pPr>
      <w:r>
        <w:t xml:space="preserve">Note that these figures sit comfortably inside management's prior guidance of 14–17% year-over-year revenue growth and a gross margin range of 47.5–48.5% (down from 49.3% in the March quarter as higher memory costs begin to weigh).</w:t>
      </w:r>
    </w:p>
    <w:bookmarkEnd w:id="11"/>
    <w:bookmarkStart w:id="12" w:name="X7b0b3bad1dc30aacb01d2ecec587215746cf48d"/>
    <w:p>
      <w:pPr>
        <w:pStyle w:val="Heading2"/>
      </w:pPr>
      <w:r>
        <w:t xml:space="preserve">What Drove the March Quarter — Setting the Stage</w:t>
      </w:r>
    </w:p>
    <w:p>
      <w:pPr>
        <w:pStyle w:val="FirstParagraph"/>
      </w:pPr>
      <w:r>
        <w:t xml:space="preserve">Apple's Q2 FY2026 (March quarter) was a blowout: revenue of $111.2 billion, up 17% year-over-year, with iPhone revenue growing 22% to $57 billion and Services hitting an all-time record of $31 billion, up 16%. Management flagged that results came</w:t>
      </w:r>
      <w:r>
        <w:t xml:space="preserve"> </w:t>
      </w:r>
      <w:r>
        <w:rPr>
          <w:b/>
          <w:bCs/>
        </w:rPr>
        <w:t xml:space="preserve">despite supply constraints</w:t>
      </w:r>
      <w:r>
        <w:t xml:space="preserve">, with the company noting it was constrained on iPhone (advanced-node SoC availability) and — looking into the June quarter — increasingly constrained on</w:t>
      </w:r>
      <w:r>
        <w:t xml:space="preserve"> </w:t>
      </w:r>
      <w:r>
        <w:rPr>
          <w:b/>
          <w:bCs/>
        </w:rPr>
        <w:t xml:space="preserve">Mac</w:t>
      </w:r>
      <w:r>
        <w:t xml:space="preserve"> </w:t>
      </w:r>
      <w:r>
        <w:t xml:space="preserve">(Mac Mini, Mac Studio, and the surprisingly popular MacBook Neo), where "the Mini and the Mac Studio may take several months to reach supply-demand balance." That's an important lens for tomorrow's print: strong headline growth may still mask unmet demand rather than a soft consumer.</w:t>
      </w:r>
    </w:p>
    <w:bookmarkEnd w:id="12"/>
    <w:bookmarkStart w:id="13" w:name="key-themes-to-watch"/>
    <w:p>
      <w:pPr>
        <w:pStyle w:val="Heading2"/>
      </w:pPr>
      <w:r>
        <w:t xml:space="preserve">Key Themes to Watch</w:t>
      </w:r>
    </w:p>
    <w:p>
      <w:pPr>
        <w:pStyle w:val="FirstParagraph"/>
      </w:pPr>
      <w:r>
        <w:rPr>
          <w:b/>
          <w:bCs/>
        </w:rPr>
        <w:t xml:space="preserve">1. Memory Cost Inflation and Margin Trajectory</w:t>
      </w:r>
      <w:r>
        <w:t xml:space="preserve"> </w:t>
      </w:r>
      <w:r>
        <w:t xml:space="preserve">This is arguably the single biggest swing factor. On the Q2 call, Tim Cook walked through an escalating memory-cost narrative: minimal impact in December, a bit more in March, and "significantly higher memory costs" expected in the June quarter — partly offset by carry-in inventory — with costs seen as "an increasing impact on our business" beyond June. This has already driven</w:t>
      </w:r>
      <w:r>
        <w:t xml:space="preserve"> </w:t>
      </w:r>
      <w:r>
        <w:rPr>
          <w:b/>
          <w:bCs/>
        </w:rPr>
        <w:t xml:space="preserve">price increases on Mac and iPad</w:t>
      </w:r>
      <w:r>
        <w:t xml:space="preserve">, and the AI-driven memory chip shortage has already forced price hikes on Macs and iPads, and Thursday's guidance for the September quarter will be scrutinized closely for how much further margins could compress.</w:t>
      </w:r>
    </w:p>
    <w:p>
      <w:pPr>
        <w:pStyle w:val="BodyText"/>
      </w:pPr>
      <w:r>
        <w:rPr>
          <w:b/>
          <w:bCs/>
        </w:rPr>
        <w:t xml:space="preserve">2. iPhone Momentum and China</w:t>
      </w:r>
      <w:r>
        <w:t xml:space="preserve"> </w:t>
      </w:r>
      <w:r>
        <w:t xml:space="preserve">The iPhone 17 family has been Apple's strongest cycle in years — customer satisfaction hit 99% in the U.S., and the March quarter saw double-digit growth across nearly every geography, including a 28% revenue jump in Greater China. Watch for commentary on whether this momentum held through June, and any early read on the rumored foldable "iPhone Ultra" expected around $2,500 in the September–October window, which analysts view as a potential share-gain lever in China against Vivo, Xiaomi, and Huawei.</w:t>
      </w:r>
    </w:p>
    <w:p>
      <w:pPr>
        <w:pStyle w:val="BodyText"/>
      </w:pPr>
      <w:r>
        <w:rPr>
          <w:b/>
          <w:bCs/>
        </w:rPr>
        <w:t xml:space="preserve">3. Services Durability and New Ad Inventory</w:t>
      </w:r>
      <w:r>
        <w:t xml:space="preserve"> </w:t>
      </w:r>
      <w:r>
        <w:t xml:space="preserve">Services just posted an all-time revenue record and has been a steady double-digit grower with expanding gross margin (76.7% last quarter). New ad inventory in App Store search and the planned launch of Maps advertising in the U.S. and Canada this summer are incremental monetization levers worth tracking for early commentary.</w:t>
      </w:r>
    </w:p>
    <w:p>
      <w:pPr>
        <w:pStyle w:val="BodyText"/>
      </w:pPr>
      <w:r>
        <w:rPr>
          <w:b/>
          <w:bCs/>
        </w:rPr>
        <w:t xml:space="preserve">4. Capital Allocation Reset</w:t>
      </w:r>
      <w:r>
        <w:t xml:space="preserve"> </w:t>
      </w:r>
      <w:r>
        <w:t xml:space="preserve">Last quarter, Apple</w:t>
      </w:r>
      <w:r>
        <w:t xml:space="preserve"> </w:t>
      </w:r>
      <w:r>
        <w:rPr>
          <w:b/>
          <w:bCs/>
        </w:rPr>
        <w:t xml:space="preserve">dropped its formal "net cash neutral" target</w:t>
      </w:r>
      <w:r>
        <w:t xml:space="preserve">, authorized an</w:t>
      </w:r>
      <w:r>
        <w:t xml:space="preserve"> </w:t>
      </w:r>
      <w:r>
        <w:rPr>
          <w:b/>
          <w:bCs/>
        </w:rPr>
        <w:t xml:space="preserve">additional $100 billion in buybacks</w:t>
      </w:r>
      <w:r>
        <w:t xml:space="preserve">, and raised the dividend 4%. Any further capital-return commentary — especially amid a CEO transition — will be watched for continuity signals.</w:t>
      </w:r>
    </w:p>
    <w:p>
      <w:pPr>
        <w:pStyle w:val="BodyText"/>
      </w:pPr>
      <w:r>
        <w:rPr>
          <w:b/>
          <w:bCs/>
        </w:rPr>
        <w:t xml:space="preserve">5. Fresh Strategic Moves Since Last Report</w:t>
      </w:r>
      <w:r>
        <w:t xml:space="preserve"> </w:t>
      </w:r>
      <w:r>
        <w:t xml:space="preserve">A cluster of announcements has landed just ahead of earnings and could feature in prepared remarks or Q&amp;A:</w:t>
      </w:r>
    </w:p>
    <w:p>
      <w:pPr>
        <w:pStyle w:val="Compact"/>
        <w:numPr>
          <w:ilvl w:val="0"/>
          <w:numId w:val="1002"/>
        </w:numPr>
      </w:pPr>
      <w:r>
        <w:t xml:space="preserve">Apple launched a new product leasing program with Klarna called Apple Upgrade, offering 12- and 24-month leasing options for iPhone and Apple Watch, and 24- and 36-month terms for Mac and iPad, while ending its own upgrade and iPhone payments programs in the U.S.</w:t>
      </w:r>
    </w:p>
    <w:p>
      <w:pPr>
        <w:pStyle w:val="Compact"/>
        <w:numPr>
          <w:ilvl w:val="0"/>
          <w:numId w:val="1002"/>
        </w:numPr>
      </w:pPr>
      <w:r>
        <w:t xml:space="preserve">Apple plans to launch a line of new devices and software for the smart home market later this year, including a hub device with an improved Siri AI assistant, a new TV set-top box, and a refreshed HomePod mini, targeting Google Nest and Amazon Alexa devices.</w:t>
      </w:r>
    </w:p>
    <w:p>
      <w:pPr>
        <w:pStyle w:val="Compact"/>
        <w:numPr>
          <w:ilvl w:val="0"/>
          <w:numId w:val="1002"/>
        </w:numPr>
      </w:pPr>
      <w:r>
        <w:t xml:space="preserve">Apple has pushed back its smart glasses launch target from early 2027, with the glasses now set for unveiling at the Worldwide Developers Conference in June 2027 and becoming available by year-end.</w:t>
      </w:r>
    </w:p>
    <w:p>
      <w:pPr>
        <w:pStyle w:val="Compact"/>
        <w:numPr>
          <w:ilvl w:val="0"/>
          <w:numId w:val="1002"/>
        </w:numPr>
      </w:pPr>
      <w:r>
        <w:t xml:space="preserve">Apple is planning a sweeping upgrade cycle for its Mac line of desktops and laptops as the company seeks to capitalize on exploding AI demand, with the Mac...enjoying a resurgence, with devices gaining a following among people who run computing intensive artificial intelligence agents.</w:t>
      </w:r>
    </w:p>
    <w:p>
      <w:pPr>
        <w:pStyle w:val="Compact"/>
        <w:numPr>
          <w:ilvl w:val="0"/>
          <w:numId w:val="1002"/>
        </w:numPr>
      </w:pPr>
      <w:r>
        <w:t xml:space="preserve">On the geopolitical front, Apple CEO Tim Cook and top executives have launched an aggressive lobbying campaign pitching President Trump and administration officials on a plan to use memory chips from Chinese suppliers ChangXin Memory Technologies and Yangtze Memory Technologies in Apple products sold outside the U.S., a push that collides with Micron Technology's counter-lobbying effort — a live risk factor around future component sourcing and D.C. relations.</w:t>
      </w:r>
    </w:p>
    <w:p>
      <w:pPr>
        <w:pStyle w:val="FirstParagraph"/>
      </w:pPr>
      <w:r>
        <w:rPr>
          <w:b/>
          <w:bCs/>
        </w:rPr>
        <w:t xml:space="preserve">6. Leadership Transition Details</w:t>
      </w:r>
      <w:r>
        <w:t xml:space="preserve"> </w:t>
      </w:r>
      <w:r>
        <w:t xml:space="preserve">Expect Cook to use significant airtime for reflection given this is his last call as CEO (his 89th), and for John Ternus to again offer brief remarks. Investors will listen for any hints about strategic continuity, R&amp;D intensity (which Cook has repeatedly said is "accelerating much higher than the company" overall), and how AI investment — leveraging Google's models rather than heavy in-house capex — will evolve under new leadership.</w:t>
      </w:r>
    </w:p>
    <w:bookmarkEnd w:id="13"/>
    <w:bookmarkStart w:id="14" w:name="risks-into-the-print"/>
    <w:p>
      <w:pPr>
        <w:pStyle w:val="Heading2"/>
      </w:pPr>
      <w:r>
        <w:t xml:space="preserve">Risks Into the Print</w:t>
      </w:r>
    </w:p>
    <w:p>
      <w:pPr>
        <w:pStyle w:val="Compact"/>
        <w:numPr>
          <w:ilvl w:val="0"/>
          <w:numId w:val="1003"/>
        </w:numPr>
      </w:pPr>
      <w:r>
        <w:rPr>
          <w:b/>
          <w:bCs/>
        </w:rPr>
        <w:t xml:space="preserve">Valuation risk:</w:t>
      </w:r>
      <w:r>
        <w:t xml:space="preserve"> </w:t>
      </w:r>
      <w:r>
        <w:t xml:space="preserve">At 35x+ forward earnings — the richest multiple since 2007 — even a solid beat may not be enough; the market may demand a raise, not just a beat.</w:t>
      </w:r>
    </w:p>
    <w:p>
      <w:pPr>
        <w:pStyle w:val="Compact"/>
        <w:numPr>
          <w:ilvl w:val="0"/>
          <w:numId w:val="1003"/>
        </w:numPr>
      </w:pPr>
      <w:r>
        <w:rPr>
          <w:b/>
          <w:bCs/>
        </w:rPr>
        <w:t xml:space="preserve">Margin risk:</w:t>
      </w:r>
      <w:r>
        <w:t xml:space="preserve"> </w:t>
      </w:r>
      <w:r>
        <w:t xml:space="preserve">Memory/component cost inflation is a known headwind that could pressure the September-quarter (fiscal Q4) guide, historically Apple's most important guide of the year given the new iPhone launch.</w:t>
      </w:r>
    </w:p>
    <w:p>
      <w:pPr>
        <w:pStyle w:val="Compact"/>
        <w:numPr>
          <w:ilvl w:val="0"/>
          <w:numId w:val="1003"/>
        </w:numPr>
      </w:pPr>
      <w:r>
        <w:rPr>
          <w:b/>
          <w:bCs/>
        </w:rPr>
        <w:t xml:space="preserve">Mac supply constraints:</w:t>
      </w:r>
      <w:r>
        <w:t xml:space="preserve"> </w:t>
      </w:r>
      <w:r>
        <w:t xml:space="preserve">Continued inability to meet demand for Mac Mini, Mac Studio, and MacBook Neo could mean upside is being left on the table — a "good problem," but one that still shows up as a modest revenue miss versus true demand.</w:t>
      </w:r>
    </w:p>
    <w:p>
      <w:pPr>
        <w:pStyle w:val="Compact"/>
        <w:numPr>
          <w:ilvl w:val="0"/>
          <w:numId w:val="1003"/>
        </w:numPr>
      </w:pPr>
      <w:r>
        <w:rPr>
          <w:b/>
          <w:bCs/>
        </w:rPr>
        <w:t xml:space="preserve">China competition:</w:t>
      </w:r>
      <w:r>
        <w:t xml:space="preserve"> </w:t>
      </w:r>
      <w:r>
        <w:t xml:space="preserve">Local rivals with strong camera/hardware technology remain a structural competitive threat, even as Apple's near-term China numbers have been strong.</w:t>
      </w:r>
    </w:p>
    <w:p>
      <w:pPr>
        <w:pStyle w:val="Compact"/>
        <w:numPr>
          <w:ilvl w:val="0"/>
          <w:numId w:val="1003"/>
        </w:numPr>
      </w:pPr>
      <w:r>
        <w:rPr>
          <w:b/>
          <w:bCs/>
        </w:rPr>
        <w:t xml:space="preserve">Transition uncertainty:</w:t>
      </w:r>
      <w:r>
        <w:t xml:space="preserve"> </w:t>
      </w:r>
      <w:r>
        <w:t xml:space="preserve">While well-telegraphed and framed as "smooth," any CEO change introduces a modest governance/execution risk premium, even if minimal here given Ternus's long tenure and the multi-month handoff period.</w:t>
      </w:r>
    </w:p>
    <w:bookmarkEnd w:id="14"/>
    <w:bookmarkStart w:id="15" w:name="bottom-line"/>
    <w:p>
      <w:pPr>
        <w:pStyle w:val="Heading2"/>
      </w:pPr>
      <w:r>
        <w:t xml:space="preserve">Bottom Line</w:t>
      </w:r>
    </w:p>
    <w:p>
      <w:pPr>
        <w:pStyle w:val="FirstParagraph"/>
      </w:pPr>
      <w:r>
        <w:t xml:space="preserve">Heading into print, Apple sits at record highs, a</w:t>
      </w:r>
      <w:r>
        <w:t xml:space="preserve"> </w:t>
      </w:r>
      <w:r>
        <w:t xml:space="preserve">$5 trillion valuation, and its most expensive multiple in nearly two decades — priced as a "flight to quality" AI-adjacent safe haven rather than on the merits of any single quarter. Consensus (~$</w:t>
      </w:r>
      <w:r>
        <w:t xml:space="preserve">108.9B revenue, ~$1.89 EPS) sits squarely inside management's own guidance range, meaning the bar for a "beat" is really a bar for a</w:t>
      </w:r>
      <w:r>
        <w:t xml:space="preserve"> </w:t>
      </w:r>
      <w:r>
        <w:rPr>
          <w:b/>
          <w:bCs/>
        </w:rPr>
        <w:t xml:space="preserve">beat-and-raise</w:t>
      </w:r>
      <w:r>
        <w:t xml:space="preserve">, particularly on gross margin guidance for the seasonally critical September quarter. With options implying just a ~3.8% move, the market is betting on an in-line, unspectacular print — leaving asymmetric risk to the downside if memory-cost commentary sounds worse than expected, and to the upside if Mac/iPhone demand commentary suggests supply constraints are masking even stronger underlying demand.</w:t>
      </w:r>
    </w:p>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2026-07-29T19:33:17Z</dcterms:created>
  <dcterms:modified xsi:type="dcterms:W3CDTF">2026-07-29T19:33:17Z</dcterms:modified>
</cp:coreProperties>
</file>

<file path=docProps/custom.xml><?xml version="1.0" encoding="utf-8"?>
<Properties xmlns="http://schemas.openxmlformats.org/officeDocument/2006/custom-properties" xmlns:vt="http://schemas.openxmlformats.org/officeDocument/2006/docPropsVTypes"/>
</file>