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98c0b83bef8f7688930932ae676b4e7424cbd62"/>
    <w:p>
      <w:pPr>
        <w:pStyle w:val="Heading1"/>
      </w:pPr>
      <w:r>
        <w:t xml:space="preserve">Apple (AAPL) Fiscal Q3 2026 Earnings Preview</w:t>
      </w:r>
    </w:p>
    <w:p>
      <w:pPr>
        <w:pStyle w:val="FirstParagraph"/>
      </w:pPr>
      <w:r>
        <w:rPr>
          <w:b/>
          <w:bCs/>
        </w:rPr>
        <w:t xml:space="preserve">Report date:</w:t>
      </w:r>
      <w:r>
        <w:t xml:space="preserve"> </w:t>
      </w:r>
      <w:r>
        <w:t xml:space="preserve">Thursday, July 30, 2026, after the U.S. market close</w:t>
      </w:r>
      <w:r>
        <w:br/>
      </w:r>
      <w:r>
        <w:rPr>
          <w:b/>
          <w:bCs/>
        </w:rPr>
        <w:t xml:space="preserve">Quarter:</w:t>
      </w:r>
      <w:r>
        <w:t xml:space="preserve"> </w:t>
      </w:r>
      <w:r>
        <w:t xml:space="preserve">Fiscal Q3 2026, covering the June quarter</w:t>
      </w:r>
      <w:r>
        <w:br/>
      </w:r>
      <w:r>
        <w:rPr>
          <w:b/>
          <w:bCs/>
        </w:rPr>
        <w:t xml:space="preserve">Closing share price on July 29:</w:t>
      </w:r>
      <w:r>
        <w:t xml:space="preserve"> </w:t>
      </w:r>
      <w:r>
        <w:rPr>
          <w:b/>
          <w:bCs/>
        </w:rPr>
        <w:t xml:space="preserve">$341.52</w:t>
      </w:r>
    </w:p>
    <w:bookmarkStart w:id="9" w:name="investment-view-going-into-the-report"/>
    <w:p>
      <w:pPr>
        <w:pStyle w:val="Heading2"/>
      </w:pPr>
      <w:r>
        <w:t xml:space="preserve">Investment view going into the report</w:t>
      </w:r>
    </w:p>
    <w:p>
      <w:pPr>
        <w:pStyle w:val="FirstParagraph"/>
      </w:pPr>
      <w:r>
        <w:t xml:space="preserve">Apple enters earnings with unusually strong operating momentum—and an unusually demanding valuation.</w:t>
      </w:r>
    </w:p>
    <w:p>
      <w:pPr>
        <w:pStyle w:val="BodyText"/>
      </w:pPr>
      <w:r>
        <w:t xml:space="preserve">The March quarter delivered</w:t>
      </w:r>
      <w:r>
        <w:t xml:space="preserve"> </w:t>
      </w:r>
      <w:r>
        <w:rPr>
          <w:b/>
          <w:bCs/>
        </w:rPr>
        <w:t xml:space="preserve">17% revenue growth</w:t>
      </w:r>
      <w:r>
        <w:t xml:space="preserve">, including</w:t>
      </w:r>
      <w:r>
        <w:t xml:space="preserve"> </w:t>
      </w:r>
      <w:r>
        <w:rPr>
          <w:b/>
          <w:bCs/>
        </w:rPr>
        <w:t xml:space="preserve">22% iPhone growth</w:t>
      </w:r>
      <w:r>
        <w:t xml:space="preserve">,</w:t>
      </w:r>
      <w:r>
        <w:t xml:space="preserve"> </w:t>
      </w:r>
      <w:r>
        <w:rPr>
          <w:b/>
          <w:bCs/>
        </w:rPr>
        <w:t xml:space="preserve">16% Services growth</w:t>
      </w:r>
      <w:r>
        <w:t xml:space="preserve">, and a sharp rebound in Greater China. Management then guided June-quarter revenue to grow</w:t>
      </w:r>
      <w:r>
        <w:t xml:space="preserve"> </w:t>
      </w:r>
      <w:r>
        <w:rPr>
          <w:b/>
          <w:bCs/>
        </w:rPr>
        <w:t xml:space="preserve">14%–17%</w:t>
      </w:r>
      <w:r>
        <w:t xml:space="preserve">, despite continued Mac supply constraints. That implies approximately</w:t>
      </w:r>
      <w:r>
        <w:t xml:space="preserve"> </w:t>
      </w:r>
      <w:r>
        <w:rPr>
          <w:b/>
          <w:bCs/>
        </w:rPr>
        <w:t xml:space="preserve">$107.2 billion to $110.0 billion</w:t>
      </w:r>
      <w:r>
        <w:t xml:space="preserve"> </w:t>
      </w:r>
      <w:r>
        <w:t xml:space="preserve">of revenue, compared with $94.0 billion last year.</w:t>
      </w:r>
    </w:p>
    <w:p>
      <w:pPr>
        <w:pStyle w:val="BodyText"/>
      </w:pPr>
      <w:r>
        <w:t xml:space="preserve">The problem is that investors already appear convinced the business is doing well. Apple shares have risen roughly</w:t>
      </w:r>
      <w:r>
        <w:t xml:space="preserve"> </w:t>
      </w:r>
      <w:r>
        <w:rPr>
          <w:b/>
          <w:bCs/>
        </w:rPr>
        <w:t xml:space="preserve">18% since June 30</w:t>
      </w:r>
      <w:r>
        <w:t xml:space="preserve">, briefly carrying the company above a $5 trillion market capitalization. The stock reportedly trades above</w:t>
      </w:r>
      <w:r>
        <w:t xml:space="preserve"> </w:t>
      </w:r>
      <w:r>
        <w:rPr>
          <w:b/>
          <w:bCs/>
        </w:rPr>
        <w:t xml:space="preserve">35 times forward earnings</w:t>
      </w:r>
      <w:r>
        <w:t xml:space="preserve">, and options imply a post-earnings move of only about</w:t>
      </w:r>
      <w:r>
        <w:t xml:space="preserve"> </w:t>
      </w:r>
      <w:r>
        <w:rPr>
          <w:b/>
          <w:bCs/>
        </w:rPr>
        <w:t xml:space="preserve">3.8%</w:t>
      </w:r>
      <w:r>
        <w:t xml:space="preserve">.</w:t>
      </w:r>
    </w:p>
    <w:p>
      <w:pPr>
        <w:pStyle w:val="BodyText"/>
      </w:pPr>
      <w:r>
        <w:t xml:space="preserve">Accordingly, a routine beat may not be enough. The likely drivers of the stock reaction are:</w:t>
      </w:r>
    </w:p>
    <w:p>
      <w:pPr>
        <w:pStyle w:val="Compact"/>
        <w:numPr>
          <w:ilvl w:val="0"/>
          <w:numId w:val="1001"/>
        </w:numPr>
      </w:pPr>
      <w:r>
        <w:rPr>
          <w:b/>
          <w:bCs/>
        </w:rPr>
        <w:t xml:space="preserve">Whether iPhone growth remains exceptional</w:t>
      </w:r>
    </w:p>
    <w:p>
      <w:pPr>
        <w:pStyle w:val="Compact"/>
        <w:numPr>
          <w:ilvl w:val="0"/>
          <w:numId w:val="1001"/>
        </w:numPr>
      </w:pPr>
      <w:r>
        <w:rPr>
          <w:b/>
          <w:bCs/>
        </w:rPr>
        <w:t xml:space="preserve">How much memory inflation pressures September-quarter margins</w:t>
      </w:r>
    </w:p>
    <w:p>
      <w:pPr>
        <w:pStyle w:val="Compact"/>
        <w:numPr>
          <w:ilvl w:val="0"/>
          <w:numId w:val="1001"/>
        </w:numPr>
      </w:pPr>
      <w:r>
        <w:rPr>
          <w:b/>
          <w:bCs/>
        </w:rPr>
        <w:t xml:space="preserve">Whether China’s recovery is sustainable</w:t>
      </w:r>
    </w:p>
    <w:p>
      <w:pPr>
        <w:pStyle w:val="Compact"/>
        <w:numPr>
          <w:ilvl w:val="0"/>
          <w:numId w:val="1001"/>
        </w:numPr>
      </w:pPr>
      <w:r>
        <w:rPr>
          <w:b/>
          <w:bCs/>
        </w:rPr>
        <w:t xml:space="preserve">Whether management’s September-quarter outlook supports the current valuation</w:t>
      </w:r>
    </w:p>
    <w:p>
      <w:pPr>
        <w:pStyle w:val="Compact"/>
        <w:numPr>
          <w:ilvl w:val="0"/>
          <w:numId w:val="1001"/>
        </w:numPr>
      </w:pPr>
      <w:r>
        <w:rPr>
          <w:b/>
          <w:bCs/>
        </w:rPr>
        <w:t xml:space="preserve">What John Ternus says about strategy, investment and capital allocation ahead of becoming CEO</w:t>
      </w:r>
    </w:p>
    <w:p>
      <w:r>
        <w:pict>
          <v:rect style="width:0;height:1.5pt" o:hralign="center" o:hrstd="t" o:hr="t"/>
        </w:pict>
      </w:r>
    </w:p>
    <w:bookmarkEnd w:id="9"/>
    <w:bookmarkStart w:id="11" w:name="the-financial-hurdle"/>
    <w:p>
      <w:pPr>
        <w:pStyle w:val="Heading2"/>
      </w:pPr>
      <w:r>
        <w:t xml:space="preserve">The financial hurdle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Fiscal Q3 2025 actual</w:t>
            </w:r>
          </w:p>
        </w:tc>
        <w:tc>
          <w:tcPr/>
          <w:p>
            <w:pPr>
              <w:pStyle w:val="Compact"/>
              <w:jc w:val="right"/>
            </w:pPr>
            <w:r>
              <w:t xml:space="preserve">Apple’s fiscal Q3 2026 framework</w:t>
            </w:r>
          </w:p>
        </w:tc>
        <w:tc>
          <w:tcPr/>
          <w:p>
            <w:pPr>
              <w:pStyle w:val="Compact"/>
            </w:pPr>
            <w:r>
              <w:t xml:space="preserve">What matters</w:t>
            </w:r>
          </w:p>
        </w:tc>
      </w:tr>
      <w:tr>
        <w:tc>
          <w:tcPr/>
          <w:p>
            <w:pPr>
              <w:pStyle w:val="Compact"/>
            </w:pPr>
            <w:r>
              <w:t xml:space="preserve">Revenue</w:t>
            </w:r>
          </w:p>
        </w:tc>
        <w:tc>
          <w:tcPr/>
          <w:p>
            <w:pPr>
              <w:pStyle w:val="Compact"/>
              <w:jc w:val="right"/>
            </w:pPr>
            <w:r>
              <w:t xml:space="preserve">$94.0B</w:t>
            </w:r>
          </w:p>
        </w:tc>
        <w:tc>
          <w:tcPr/>
          <w:p>
            <w:pPr>
              <w:pStyle w:val="Compact"/>
              <w:jc w:val="right"/>
            </w:pPr>
            <w:r>
              <w:rPr>
                <w:b/>
                <w:bCs/>
              </w:rPr>
              <w:t xml:space="preserve">14%–17% growth</w:t>
            </w:r>
            <w:r>
              <w:t xml:space="preserve">, implying</w:t>
            </w:r>
            <w:r>
              <w:t xml:space="preserve"> </w:t>
            </w:r>
            <m:oMath>
              <m:r>
                <m:t>107.2</m:t>
              </m:r>
              <m:r>
                <m:t>B</m:t>
              </m:r>
              <m:r>
                <m:rPr>
                  <m:sty m:val="p"/>
                </m:rPr>
                <m:t>–</m:t>
              </m:r>
            </m:oMath>
            <w:r>
              <w:rPr>
                <w:b/>
                <w:bCs/>
              </w:rPr>
              <w:t xml:space="preserve">110.0B</w:t>
            </w:r>
          </w:p>
        </w:tc>
        <w:tc>
          <w:tcPr/>
          <w:p>
            <w:pPr>
              <w:pStyle w:val="Compact"/>
            </w:pPr>
            <w:r>
              <w:t xml:space="preserve">High end or better would confirm sustained iPhone momentum</w:t>
            </w:r>
          </w:p>
        </w:tc>
      </w:tr>
      <w:tr>
        <w:tc>
          <w:tcPr/>
          <w:p>
            <w:pPr>
              <w:pStyle w:val="Compact"/>
            </w:pPr>
            <w:r>
              <w:t xml:space="preserve">Gross margin</w:t>
            </w:r>
          </w:p>
        </w:tc>
        <w:tc>
          <w:tcPr/>
          <w:p>
            <w:pPr>
              <w:pStyle w:val="Compact"/>
              <w:jc w:val="right"/>
            </w:pPr>
            <w:r>
              <w:t xml:space="preserve">46.5%</w:t>
            </w:r>
          </w:p>
        </w:tc>
        <w:tc>
          <w:tcPr/>
          <w:p>
            <w:pPr>
              <w:pStyle w:val="Compact"/>
              <w:jc w:val="right"/>
            </w:pPr>
            <w:r>
              <w:rPr>
                <w:b/>
                <w:bCs/>
              </w:rPr>
              <w:t xml:space="preserve">47.5%–48.5%</w:t>
            </w:r>
          </w:p>
        </w:tc>
        <w:tc>
          <w:tcPr/>
          <w:p>
            <w:pPr>
              <w:pStyle w:val="Compact"/>
            </w:pPr>
            <w:r>
              <w:t xml:space="preserve">Memory costs, mix and tariffs are key</w:t>
            </w:r>
          </w:p>
        </w:tc>
      </w:tr>
      <w:tr>
        <w:tc>
          <w:tcPr/>
          <w:p>
            <w:pPr>
              <w:pStyle w:val="Compact"/>
            </w:pPr>
            <w:r>
              <w:t xml:space="preserve">Operating expenses</w:t>
            </w:r>
          </w:p>
        </w:tc>
        <w:tc>
          <w:tcPr/>
          <w:p>
            <w:pPr>
              <w:pStyle w:val="Compact"/>
              <w:jc w:val="right"/>
            </w:pPr>
            <w:r>
              <w:t xml:space="preserve">$15.5B</w:t>
            </w:r>
          </w:p>
        </w:tc>
        <w:tc>
          <w:tcPr/>
          <w:p>
            <w:pPr>
              <w:pStyle w:val="Compact"/>
              <w:jc w:val="right"/>
            </w:pPr>
            <m:oMath>
              <m:r>
                <m:t>18.8</m:t>
              </m:r>
              <m:r>
                <m:t>B</m:t>
              </m:r>
              <m:r>
                <m:rPr>
                  <m:sty m:val="p"/>
                </m:rPr>
                <m:t>–</m:t>
              </m:r>
            </m:oMath>
            <w:r>
              <w:rPr>
                <w:b/>
                <w:bCs/>
              </w:rPr>
              <w:t xml:space="preserve">19.1B</w:t>
            </w:r>
          </w:p>
        </w:tc>
        <w:tc>
          <w:tcPr/>
          <w:p>
            <w:pPr>
              <w:pStyle w:val="Compact"/>
            </w:pPr>
            <w:r>
              <w:t xml:space="preserve">Elevated AI and R&amp;D investment</w:t>
            </w:r>
          </w:p>
        </w:tc>
      </w:tr>
      <w:tr>
        <w:tc>
          <w:tcPr/>
          <w:p>
            <w:pPr>
              <w:pStyle w:val="Compact"/>
            </w:pPr>
            <w:r>
              <w:t xml:space="preserve">Services revenue</w:t>
            </w:r>
          </w:p>
        </w:tc>
        <w:tc>
          <w:tcPr/>
          <w:p>
            <w:pPr>
              <w:pStyle w:val="Compact"/>
              <w:jc w:val="right"/>
            </w:pPr>
            <w:r>
              <w:t xml:space="preserve">$27.4B</w:t>
            </w:r>
          </w:p>
        </w:tc>
        <w:tc>
          <w:tcPr/>
          <w:p>
            <w:pPr>
              <w:pStyle w:val="Compact"/>
              <w:jc w:val="right"/>
            </w:pPr>
            <w:r>
              <w:t xml:space="preserve">Growth similar to Q2’s underlying rate</w:t>
            </w:r>
          </w:p>
        </w:tc>
        <w:tc>
          <w:tcPr/>
          <w:p>
            <w:pPr>
              <w:pStyle w:val="Compact"/>
            </w:pPr>
            <w:r>
              <w:t xml:space="preserve">Q2 Services grew 16%; FX comparisons matter</w:t>
            </w:r>
          </w:p>
        </w:tc>
      </w:tr>
      <w:tr>
        <w:tc>
          <w:tcPr/>
          <w:p>
            <w:pPr>
              <w:pStyle w:val="Compact"/>
            </w:pPr>
            <w:r>
              <w:t xml:space="preserve">Tax rate</w:t>
            </w:r>
          </w:p>
        </w:tc>
        <w:tc>
          <w:tcPr/>
          <w:p>
            <w:pPr>
              <w:pStyle w:val="Compact"/>
              <w:jc w:val="right"/>
            </w:pPr>
            <w:r>
              <w:t xml:space="preserve">16.4%</w:t>
            </w:r>
          </w:p>
        </w:tc>
        <w:tc>
          <w:tcPr/>
          <w:p>
            <w:pPr>
              <w:pStyle w:val="Compact"/>
              <w:jc w:val="right"/>
            </w:pPr>
            <w:r>
              <w:t xml:space="preserve">Approximately</w:t>
            </w:r>
            <w:r>
              <w:t xml:space="preserve"> </w:t>
            </w:r>
            <w:r>
              <w:rPr>
                <w:b/>
                <w:bCs/>
              </w:rPr>
              <w:t xml:space="preserve">17%</w:t>
            </w:r>
          </w:p>
        </w:tc>
        <w:tc>
          <w:tcPr/>
          <w:p>
            <w:pPr>
              <w:pStyle w:val="Compact"/>
            </w:pPr>
            <w:r>
              <w:t xml:space="preserve">Generally not a major swing factor</w:t>
            </w:r>
          </w:p>
        </w:tc>
      </w:tr>
      <w:tr>
        <w:tc>
          <w:tcPr/>
          <w:p>
            <w:pPr>
              <w:pStyle w:val="Compact"/>
            </w:pPr>
            <w:r>
              <w:t xml:space="preserve">OI&amp;E</w:t>
            </w:r>
          </w:p>
        </w:tc>
        <w:tc>
          <w:tcPr/>
          <w:p>
            <w:pPr>
              <w:pStyle w:val="Compact"/>
              <w:jc w:val="right"/>
            </w:pPr>
            <w:r>
              <w:t xml:space="preserve">$(0.2)B</w:t>
            </w:r>
          </w:p>
        </w:tc>
        <w:tc>
          <w:tcPr/>
          <w:p>
            <w:pPr>
              <w:pStyle w:val="Compact"/>
              <w:jc w:val="right"/>
            </w:pPr>
            <w:r>
              <w:t xml:space="preserve">Approximately</w:t>
            </w:r>
            <w:r>
              <w:t xml:space="preserve"> </w:t>
            </w:r>
            <w:r>
              <w:rPr>
                <w:b/>
                <w:bCs/>
              </w:rPr>
              <w:t xml:space="preserve">+$0.25B</w:t>
            </w:r>
          </w:p>
        </w:tc>
        <w:tc>
          <w:tcPr/>
          <w:p>
            <w:pPr>
              <w:pStyle w:val="Compact"/>
            </w:pPr>
            <w:r>
              <w:t xml:space="preserve">Modest earnings benefit</w:t>
            </w:r>
          </w:p>
        </w:tc>
      </w:tr>
    </w:tbl>
    <w:p>
      <w:pPr>
        <w:pStyle w:val="BodyText"/>
      </w:pPr>
      <w:r>
        <w:t xml:space="preserve">Using the endpoints of Apple’s revenue, margin, expense and tax guidance—and an estimated diluted share count—the framework points to roughly</w:t>
      </w:r>
      <w:r>
        <w:t xml:space="preserve"> </w:t>
      </w:r>
      <m:oMath>
        <m:r>
          <m:t>1.83</m:t>
        </m:r>
        <m:r>
          <m:rPr>
            <m:sty m:val="p"/>
          </m:rPr>
          <m:t>–</m:t>
        </m:r>
      </m:oMath>
      <w:r>
        <w:rPr>
          <w:b/>
          <w:bCs/>
        </w:rPr>
        <w:t xml:space="preserve">1.96 of EPS</w:t>
      </w:r>
      <w:r>
        <w:t xml:space="preserve">. This is only a mechanical estimate; category mix, buybacks and below-the-line items could move the result.</w:t>
      </w:r>
    </w:p>
    <w:bookmarkStart w:id="10" w:name="what-would-constitute-a-strong-report"/>
    <w:p>
      <w:pPr>
        <w:pStyle w:val="Heading3"/>
      </w:pPr>
      <w:r>
        <w:t xml:space="preserve">What would constitute a strong report?</w:t>
      </w:r>
    </w:p>
    <w:p>
      <w:pPr>
        <w:pStyle w:val="FirstParagraph"/>
      </w:pPr>
      <w:r>
        <w:t xml:space="preserve">A clearly positive outcome would probably require:</w:t>
      </w:r>
    </w:p>
    <w:p>
      <w:pPr>
        <w:pStyle w:val="Compact"/>
        <w:numPr>
          <w:ilvl w:val="0"/>
          <w:numId w:val="1002"/>
        </w:numPr>
      </w:pPr>
      <w:r>
        <w:t xml:space="preserve">Revenue near or above</w:t>
      </w:r>
      <w:r>
        <w:t xml:space="preserve"> </w:t>
      </w:r>
      <w:r>
        <w:rPr>
          <w:b/>
          <w:bCs/>
        </w:rPr>
        <w:t xml:space="preserve">$110 billion</w:t>
      </w:r>
    </w:p>
    <w:p>
      <w:pPr>
        <w:pStyle w:val="Compact"/>
        <w:numPr>
          <w:ilvl w:val="0"/>
          <w:numId w:val="1002"/>
        </w:numPr>
      </w:pPr>
      <w:r>
        <w:t xml:space="preserve">Gross margin at or above the</w:t>
      </w:r>
      <w:r>
        <w:t xml:space="preserve"> </w:t>
      </w:r>
      <w:r>
        <w:rPr>
          <w:b/>
          <w:bCs/>
        </w:rPr>
        <w:t xml:space="preserve">48.5%</w:t>
      </w:r>
      <w:r>
        <w:t xml:space="preserve"> </w:t>
      </w:r>
      <w:r>
        <w:t xml:space="preserve">guidance ceiling</w:t>
      </w:r>
    </w:p>
    <w:p>
      <w:pPr>
        <w:pStyle w:val="Compact"/>
        <w:numPr>
          <w:ilvl w:val="0"/>
          <w:numId w:val="1002"/>
        </w:numPr>
      </w:pPr>
      <w:r>
        <w:t xml:space="preserve">Continued double-digit iPhone and Services growth</w:t>
      </w:r>
    </w:p>
    <w:p>
      <w:pPr>
        <w:pStyle w:val="Compact"/>
        <w:numPr>
          <w:ilvl w:val="0"/>
          <w:numId w:val="1002"/>
        </w:numPr>
      </w:pPr>
      <w:r>
        <w:t xml:space="preserve">Evidence that China’s recovery persisted</w:t>
      </w:r>
    </w:p>
    <w:p>
      <w:pPr>
        <w:pStyle w:val="Compact"/>
        <w:numPr>
          <w:ilvl w:val="0"/>
          <w:numId w:val="1002"/>
        </w:numPr>
      </w:pPr>
      <w:r>
        <w:t xml:space="preserve">September-quarter guidance showing healthy growth without a major margin reset</w:t>
      </w:r>
    </w:p>
    <w:p>
      <w:pPr>
        <w:pStyle w:val="FirstParagraph"/>
      </w:pPr>
      <w:r>
        <w:t xml:space="preserve">A result near the midpoint of guidance could be fundamentally solid but still disappoint a market pricing in near-flawless execution.</w:t>
      </w:r>
    </w:p>
    <w:p>
      <w:r>
        <w:pict>
          <v:rect style="width:0;height:1.5pt" o:hralign="center" o:hrstd="t" o:hr="t"/>
        </w:pict>
      </w:r>
    </w:p>
    <w:bookmarkEnd w:id="10"/>
    <w:bookmarkEnd w:id="11"/>
    <w:bookmarkStart w:id="14" w:name="X1c6c494dd5b411b02203b207bb1d2882734ce99"/>
    <w:p>
      <w:pPr>
        <w:pStyle w:val="Heading2"/>
      </w:pPr>
      <w:r>
        <w:t xml:space="preserve">1. iPhone is again the central earnings driver</w:t>
      </w:r>
    </w:p>
    <w:p>
      <w:pPr>
        <w:pStyle w:val="FirstParagraph"/>
      </w:pPr>
      <w:r>
        <w:t xml:space="preserve">Apple generated</w:t>
      </w:r>
      <w:r>
        <w:t xml:space="preserve"> </w:t>
      </w:r>
      <w:r>
        <w:rPr>
          <w:b/>
          <w:bCs/>
        </w:rPr>
        <w:t xml:space="preserve">$57.0 billion of iPhone revenue</w:t>
      </w:r>
      <w:r>
        <w:t xml:space="preserve"> </w:t>
      </w:r>
      <w:r>
        <w:t xml:space="preserve">in fiscal Q2, up</w:t>
      </w:r>
      <w:r>
        <w:t xml:space="preserve"> </w:t>
      </w:r>
      <w:r>
        <w:rPr>
          <w:b/>
          <w:bCs/>
        </w:rPr>
        <w:t xml:space="preserve">22%</w:t>
      </w:r>
      <w:r>
        <w:t xml:space="preserve">, driven by the iPhone 17 family. Management called it the strongest iPhone cycle in company history through the March quarter and reported record March-quarter upgrade activity.</w:t>
      </w:r>
    </w:p>
    <w:p>
      <w:pPr>
        <w:pStyle w:val="BodyText"/>
      </w:pPr>
      <w:r>
        <w:t xml:space="preserve">For context, fiscal Q3 2025 iPhone revenue was</w:t>
      </w:r>
      <w:r>
        <w:t xml:space="preserve"> </w:t>
      </w:r>
      <w:r>
        <w:rPr>
          <w:b/>
          <w:bCs/>
        </w:rPr>
        <w:t xml:space="preserve">$44.6 billion</w:t>
      </w:r>
      <w:r>
        <w:t xml:space="preserve">. The June report should reveal whether the extraordinary momentum of the past two quarters is durable or whether some demand was pulled forward.</w:t>
      </w:r>
    </w:p>
    <w:bookmarkStart w:id="12" w:name="key-questions"/>
    <w:p>
      <w:pPr>
        <w:pStyle w:val="Heading3"/>
      </w:pPr>
      <w:r>
        <w:t xml:space="preserve">Key questions</w:t>
      </w:r>
    </w:p>
    <w:p>
      <w:pPr>
        <w:pStyle w:val="Compact"/>
        <w:numPr>
          <w:ilvl w:val="0"/>
          <w:numId w:val="1003"/>
        </w:numPr>
      </w:pPr>
      <w:r>
        <w:t xml:space="preserve">Did iPhone maintain double-digit growth after two quarters above 20%?</w:t>
      </w:r>
    </w:p>
    <w:p>
      <w:pPr>
        <w:pStyle w:val="Compact"/>
        <w:numPr>
          <w:ilvl w:val="0"/>
          <w:numId w:val="1003"/>
        </w:numPr>
      </w:pPr>
      <w:r>
        <w:t xml:space="preserve">How much demand came from upgrades versus new users?</w:t>
      </w:r>
    </w:p>
    <w:p>
      <w:pPr>
        <w:pStyle w:val="Compact"/>
        <w:numPr>
          <w:ilvl w:val="0"/>
          <w:numId w:val="1003"/>
        </w:numPr>
      </w:pPr>
      <w:r>
        <w:t xml:space="preserve">Did customers buy ahead of possible future price increases?</w:t>
      </w:r>
    </w:p>
    <w:p>
      <w:pPr>
        <w:pStyle w:val="Compact"/>
        <w:numPr>
          <w:ilvl w:val="0"/>
          <w:numId w:val="1003"/>
        </w:numPr>
      </w:pPr>
      <w:r>
        <w:t xml:space="preserve">Is iPhone 17 demand broad-based across the U.S., Europe and Asia?</w:t>
      </w:r>
    </w:p>
    <w:p>
      <w:pPr>
        <w:pStyle w:val="Compact"/>
        <w:numPr>
          <w:ilvl w:val="0"/>
          <w:numId w:val="1003"/>
        </w:numPr>
      </w:pPr>
      <w:r>
        <w:t xml:space="preserve">Can Apple preserve unit momentum while managing higher component costs?</w:t>
      </w:r>
    </w:p>
    <w:p>
      <w:pPr>
        <w:pStyle w:val="FirstParagraph"/>
      </w:pPr>
      <w:r>
        <w:t xml:space="preserve">Recent reports indicate Apple held U.S. iPhone prices steady while increasing prices on some Macs and iPads. Its new</w:t>
      </w:r>
      <w:r>
        <w:t xml:space="preserve"> </w:t>
      </w:r>
      <w:r>
        <w:rPr>
          <w:b/>
          <w:bCs/>
        </w:rPr>
        <w:t xml:space="preserve">Apple Upgrade</w:t>
      </w:r>
      <w:r>
        <w:t xml:space="preserve"> </w:t>
      </w:r>
      <w:r>
        <w:t xml:space="preserve">leasing program, launched with Klarna, could make premium devices more affordable through lower monthly payments. However, because the program launched on July 28, it will affect the outlook rather than the June-quarter results.</w:t>
      </w:r>
    </w:p>
    <w:bookmarkEnd w:id="12"/>
    <w:bookmarkStart w:id="13" w:name="investor-takeaway"/>
    <w:p>
      <w:pPr>
        <w:pStyle w:val="Heading3"/>
      </w:pPr>
      <w:r>
        <w:t xml:space="preserve">Investor takeaway</w:t>
      </w:r>
    </w:p>
    <w:p>
      <w:pPr>
        <w:pStyle w:val="FirstParagraph"/>
      </w:pPr>
      <w:r>
        <w:t xml:space="preserve">Another quarter of approximately 20% iPhone growth would be a major positive. A material deceleration would not necessarily indicate a weak franchise, but it would challenge the narrative that Apple has entered an unusually powerful replacement cycle.</w:t>
      </w:r>
    </w:p>
    <w:p>
      <w:r>
        <w:pict>
          <v:rect style="width:0;height:1.5pt" o:hralign="center" o:hrstd="t" o:hr="t"/>
        </w:pict>
      </w:r>
    </w:p>
    <w:bookmarkEnd w:id="13"/>
    <w:bookmarkEnd w:id="14"/>
    <w:bookmarkStart w:id="16" w:name="X665db88a5371b609acee74915876c3d59f9c4f4"/>
    <w:p>
      <w:pPr>
        <w:pStyle w:val="Heading2"/>
      </w:pPr>
      <w:r>
        <w:t xml:space="preserve">2. Gross margin and memory costs may matter more than the revenue beat</w:t>
      </w:r>
    </w:p>
    <w:p>
      <w:pPr>
        <w:pStyle w:val="FirstParagraph"/>
      </w:pPr>
      <w:r>
        <w:t xml:space="preserve">Apple guided gross margin to</w:t>
      </w:r>
      <w:r>
        <w:t xml:space="preserve"> </w:t>
      </w:r>
      <w:r>
        <w:rPr>
          <w:b/>
          <w:bCs/>
        </w:rPr>
        <w:t xml:space="preserve">47.5%–48.5%</w:t>
      </w:r>
      <w:r>
        <w:t xml:space="preserve">, below the March quarter’s 49.3% but above the 46.5% reported a year earlier.</w:t>
      </w:r>
    </w:p>
    <w:p>
      <w:pPr>
        <w:pStyle w:val="BodyText"/>
      </w:pPr>
      <w:r>
        <w:t xml:space="preserve">Management explicitly warned in April that:</w:t>
      </w:r>
    </w:p>
    <w:p>
      <w:pPr>
        <w:pStyle w:val="Compact"/>
        <w:numPr>
          <w:ilvl w:val="0"/>
          <w:numId w:val="1004"/>
        </w:numPr>
      </w:pPr>
      <w:r>
        <w:t xml:space="preserve">Memory costs would be significantly higher in the June quarter.</w:t>
      </w:r>
    </w:p>
    <w:p>
      <w:pPr>
        <w:pStyle w:val="Compact"/>
        <w:numPr>
          <w:ilvl w:val="0"/>
          <w:numId w:val="1004"/>
        </w:numPr>
      </w:pPr>
      <w:r>
        <w:t xml:space="preserve">Existing inventory would provide a partial offset.</w:t>
      </w:r>
    </w:p>
    <w:p>
      <w:pPr>
        <w:pStyle w:val="Compact"/>
        <w:numPr>
          <w:ilvl w:val="0"/>
          <w:numId w:val="1004"/>
        </w:numPr>
      </w:pPr>
      <w:r>
        <w:t xml:space="preserve">The effect of higher memory costs would</w:t>
      </w:r>
      <w:r>
        <w:t xml:space="preserve"> </w:t>
      </w:r>
      <w:r>
        <w:rPr>
          <w:b/>
          <w:bCs/>
        </w:rPr>
        <w:t xml:space="preserve">increase beyond the June quarter</w:t>
      </w:r>
      <w:r>
        <w:t xml:space="preserve">.</w:t>
      </w:r>
    </w:p>
    <w:p>
      <w:pPr>
        <w:pStyle w:val="Compact"/>
        <w:numPr>
          <w:ilvl w:val="0"/>
          <w:numId w:val="1004"/>
        </w:numPr>
      </w:pPr>
      <w:r>
        <w:t xml:space="preserve">Apple would consider a range of responses.</w:t>
      </w:r>
    </w:p>
    <w:p>
      <w:pPr>
        <w:pStyle w:val="FirstParagraph"/>
      </w:pPr>
      <w:r>
        <w:t xml:space="preserve">That makes September-quarter margin guidance arguably the single most important number in the report.</w:t>
      </w:r>
    </w:p>
    <w:p>
      <w:pPr>
        <w:pStyle w:val="BodyText"/>
      </w:pPr>
      <w:r>
        <w:t xml:space="preserve">Apple appears to have already responded by raising prices on some Mac and iPad products. Reports that it is seeking permission to use Chinese memory suppliers for devices sold outside the U.S. underscore the severity of the industry shortage.</w:t>
      </w:r>
    </w:p>
    <w:bookmarkStart w:id="15" w:name="what-investors-should-listen-for"/>
    <w:p>
      <w:pPr>
        <w:pStyle w:val="Heading3"/>
      </w:pPr>
      <w:r>
        <w:t xml:space="preserve">What investors should listen for</w:t>
      </w:r>
    </w:p>
    <w:p>
      <w:pPr>
        <w:pStyle w:val="Compact"/>
        <w:numPr>
          <w:ilvl w:val="0"/>
          <w:numId w:val="1005"/>
        </w:numPr>
      </w:pPr>
      <w:r>
        <w:t xml:space="preserve">How much did memory reduce fiscal Q3 gross margin?</w:t>
      </w:r>
    </w:p>
    <w:p>
      <w:pPr>
        <w:pStyle w:val="Compact"/>
        <w:numPr>
          <w:ilvl w:val="0"/>
          <w:numId w:val="1005"/>
        </w:numPr>
      </w:pPr>
      <w:r>
        <w:t xml:space="preserve">Will the pressure intensify materially in fiscal Q4?</w:t>
      </w:r>
    </w:p>
    <w:p>
      <w:pPr>
        <w:pStyle w:val="Compact"/>
        <w:numPr>
          <w:ilvl w:val="0"/>
          <w:numId w:val="1005"/>
        </w:numPr>
      </w:pPr>
      <w:r>
        <w:t xml:space="preserve">Can pricing, product mix and supplier negotiations offset inflation?</w:t>
      </w:r>
    </w:p>
    <w:p>
      <w:pPr>
        <w:pStyle w:val="Compact"/>
        <w:numPr>
          <w:ilvl w:val="0"/>
          <w:numId w:val="1005"/>
        </w:numPr>
      </w:pPr>
      <w:r>
        <w:t xml:space="preserve">Is Apple willing to accept lower margins to protect market share?</w:t>
      </w:r>
    </w:p>
    <w:p>
      <w:pPr>
        <w:pStyle w:val="Compact"/>
        <w:numPr>
          <w:ilvl w:val="0"/>
          <w:numId w:val="1005"/>
        </w:numPr>
      </w:pPr>
      <w:r>
        <w:t xml:space="preserve">Could higher component costs affect the fall product launch schedule?</w:t>
      </w:r>
    </w:p>
    <w:p>
      <w:pPr>
        <w:pStyle w:val="FirstParagraph"/>
      </w:pPr>
      <w:r>
        <w:t xml:space="preserve">A gross-margin guide that remains near 48% would be reassuring. A guide falling meaningfully below the June-quarter range could outweigh a headline revenue beat.</w:t>
      </w:r>
    </w:p>
    <w:p>
      <w:r>
        <w:pict>
          <v:rect style="width:0;height:1.5pt" o:hralign="center" o:hrstd="t" o:hr="t"/>
        </w:pict>
      </w:r>
    </w:p>
    <w:bookmarkEnd w:id="15"/>
    <w:bookmarkEnd w:id="16"/>
    <w:bookmarkStart w:id="18" w:name="X82c35287e10b97875960a16d484b9071a018ce2"/>
    <w:p>
      <w:pPr>
        <w:pStyle w:val="Heading2"/>
      </w:pPr>
      <w:r>
        <w:t xml:space="preserve">3. Services must remain the earnings stabilizer</w:t>
      </w:r>
    </w:p>
    <w:p>
      <w:pPr>
        <w:pStyle w:val="FirstParagraph"/>
      </w:pPr>
      <w:r>
        <w:t xml:space="preserve">Services produced a record</w:t>
      </w:r>
      <w:r>
        <w:t xml:space="preserve"> </w:t>
      </w:r>
      <w:r>
        <w:rPr>
          <w:b/>
          <w:bCs/>
        </w:rPr>
        <w:t xml:space="preserve">$31.0 billion</w:t>
      </w:r>
      <w:r>
        <w:t xml:space="preserve"> </w:t>
      </w:r>
      <w:r>
        <w:t xml:space="preserve">in the March quarter, up</w:t>
      </w:r>
      <w:r>
        <w:t xml:space="preserve"> </w:t>
      </w:r>
      <w:r>
        <w:rPr>
          <w:b/>
          <w:bCs/>
        </w:rPr>
        <w:t xml:space="preserve">16%</w:t>
      </w:r>
      <w:r>
        <w:t xml:space="preserve">, with a</w:t>
      </w:r>
      <w:r>
        <w:t xml:space="preserve"> </w:t>
      </w:r>
      <w:r>
        <w:rPr>
          <w:b/>
          <w:bCs/>
        </w:rPr>
        <w:t xml:space="preserve">76.7% gross margin</w:t>
      </w:r>
      <w:r>
        <w:t xml:space="preserve">. Management guided underlying fiscal Q3 Services growth to be similar to the March-quarter rate after adjusting for foreign exchange.</w:t>
      </w:r>
    </w:p>
    <w:p>
      <w:pPr>
        <w:pStyle w:val="BodyText"/>
      </w:pPr>
      <w:r>
        <w:t xml:space="preserve">Fiscal Q3 2025 Services revenue was</w:t>
      </w:r>
      <w:r>
        <w:t xml:space="preserve"> </w:t>
      </w:r>
      <m:oMath>
        <m:r>
          <m:t>27.4</m:t>
        </m:r>
        <m:r>
          <m:t>b</m:t>
        </m:r>
        <m:r>
          <m:t>i</m:t>
        </m:r>
        <m:r>
          <m:t>l</m:t>
        </m:r>
        <m:r>
          <m:t>l</m:t>
        </m:r>
        <m:r>
          <m:t>i</m:t>
        </m:r>
        <m:r>
          <m:t>o</m:t>
        </m:r>
        <m:r>
          <m:t>n</m:t>
        </m:r>
        <m:r>
          <m:rPr>
            <m:sty m:val="p"/>
          </m:rPr>
          <m:t>.</m:t>
        </m:r>
        <m:r>
          <m:t>G</m:t>
        </m:r>
        <m:r>
          <m:t>r</m:t>
        </m:r>
        <m:r>
          <m:t>o</m:t>
        </m:r>
        <m:r>
          <m:t>w</m:t>
        </m:r>
        <m:r>
          <m:t>t</m:t>
        </m:r>
        <m:r>
          <m:t>h</m:t>
        </m:r>
        <m:r>
          <m:t>i</m:t>
        </m:r>
        <m:r>
          <m:t>n</m:t>
        </m:r>
        <m:r>
          <m:t>t</m:t>
        </m:r>
        <m:r>
          <m:t>h</m:t>
        </m:r>
        <m:r>
          <m:t>e</m:t>
        </m:r>
        <m:r>
          <m:t>m</m:t>
        </m:r>
        <m:r>
          <m:t>i</m:t>
        </m:r>
        <m:r>
          <m:t>d</m:t>
        </m:r>
        <m:r>
          <m:rPr>
            <m:sty m:val="p"/>
          </m:rPr>
          <m:t>−</m:t>
        </m:r>
        <m:r>
          <m:t>t</m:t>
        </m:r>
        <m:r>
          <m:t>e</m:t>
        </m:r>
        <m:r>
          <m:t>e</m:t>
        </m:r>
        <m:r>
          <m:t>n</m:t>
        </m:r>
        <m:r>
          <m:t>s</m:t>
        </m:r>
        <m:r>
          <m:t>w</m:t>
        </m:r>
        <m:r>
          <m:t>o</m:t>
        </m:r>
        <m:r>
          <m:t>u</m:t>
        </m:r>
        <m:r>
          <m:t>l</m:t>
        </m:r>
        <m:r>
          <m:t>d</m:t>
        </m:r>
        <m:r>
          <m:t>p</m:t>
        </m:r>
        <m:r>
          <m:t>u</m:t>
        </m:r>
        <m:r>
          <m:t>t</m:t>
        </m:r>
        <m:r>
          <m:t>t</m:t>
        </m:r>
        <m:r>
          <m:t>h</m:t>
        </m:r>
        <m:r>
          <m:t>e</m:t>
        </m:r>
        <m:r>
          <m:t>c</m:t>
        </m:r>
        <m:r>
          <m:t>a</m:t>
        </m:r>
        <m:r>
          <m:t>t</m:t>
        </m:r>
        <m:r>
          <m:t>e</m:t>
        </m:r>
        <m:r>
          <m:t>g</m:t>
        </m:r>
        <m:r>
          <m:t>o</m:t>
        </m:r>
        <m:r>
          <m:t>r</m:t>
        </m:r>
        <m:r>
          <m:t>y</m:t>
        </m:r>
        <m:r>
          <m:t>a</m:t>
        </m:r>
        <m:r>
          <m:t>b</m:t>
        </m:r>
        <m:r>
          <m:t>o</m:t>
        </m:r>
        <m:r>
          <m:t>v</m:t>
        </m:r>
        <m:r>
          <m:t>e</m:t>
        </m:r>
        <m:r>
          <m:rPr>
            <m:sty m:val="p"/>
          </m:rPr>
          <m:t>*</m:t>
        </m:r>
        <m:r>
          <m:rPr>
            <m:sty m:val="p"/>
          </m:rPr>
          <m:t>*</m:t>
        </m:r>
      </m:oMath>
      <w:r>
        <w:t xml:space="preserve">31 billion** again and reinforce its role as Apple’s highest-quality profit stream.</w:t>
      </w:r>
    </w:p>
    <w:bookmarkStart w:id="17" w:name="areas-to-monitor"/>
    <w:p>
      <w:pPr>
        <w:pStyle w:val="Heading3"/>
      </w:pPr>
      <w:r>
        <w:t xml:space="preserve">Areas to monitor</w:t>
      </w:r>
    </w:p>
    <w:p>
      <w:pPr>
        <w:pStyle w:val="Compact"/>
        <w:numPr>
          <w:ilvl w:val="0"/>
          <w:numId w:val="1006"/>
        </w:numPr>
      </w:pPr>
      <w:r>
        <w:t xml:space="preserve">App Store and advertising growth</w:t>
      </w:r>
    </w:p>
    <w:p>
      <w:pPr>
        <w:pStyle w:val="Compact"/>
        <w:numPr>
          <w:ilvl w:val="0"/>
          <w:numId w:val="1006"/>
        </w:numPr>
      </w:pPr>
      <w:r>
        <w:t xml:space="preserve">Paid-account and transacting-account trends</w:t>
      </w:r>
    </w:p>
    <w:p>
      <w:pPr>
        <w:pStyle w:val="Compact"/>
        <w:numPr>
          <w:ilvl w:val="0"/>
          <w:numId w:val="1006"/>
        </w:numPr>
      </w:pPr>
      <w:r>
        <w:t xml:space="preserve">Apple TV and sports-related spending</w:t>
      </w:r>
    </w:p>
    <w:p>
      <w:pPr>
        <w:pStyle w:val="Compact"/>
        <w:numPr>
          <w:ilvl w:val="0"/>
          <w:numId w:val="1006"/>
        </w:numPr>
      </w:pPr>
      <w:r>
        <w:t xml:space="preserve">Apple Music pricing</w:t>
      </w:r>
    </w:p>
    <w:p>
      <w:pPr>
        <w:pStyle w:val="Compact"/>
        <w:numPr>
          <w:ilvl w:val="0"/>
          <w:numId w:val="1006"/>
        </w:numPr>
      </w:pPr>
      <w:r>
        <w:t xml:space="preserve">Early contribution from expanded App Store advertising inventory</w:t>
      </w:r>
    </w:p>
    <w:p>
      <w:pPr>
        <w:pStyle w:val="Compact"/>
        <w:numPr>
          <w:ilvl w:val="0"/>
          <w:numId w:val="1006"/>
        </w:numPr>
      </w:pPr>
      <w:r>
        <w:t xml:space="preserve">Management’s expectations for Maps advertising</w:t>
      </w:r>
    </w:p>
    <w:p>
      <w:pPr>
        <w:pStyle w:val="Compact"/>
        <w:numPr>
          <w:ilvl w:val="0"/>
          <w:numId w:val="1006"/>
        </w:numPr>
      </w:pPr>
      <w:r>
        <w:t xml:space="preserve">Regulatory and antitrust effects on App Store economics</w:t>
      </w:r>
    </w:p>
    <w:p>
      <w:pPr>
        <w:pStyle w:val="FirstParagraph"/>
      </w:pPr>
      <w:r>
        <w:t xml:space="preserve">The central issue is not simply revenue growth. Services mix can materially influence consolidated gross margin, especially while hardware component costs rise.</w:t>
      </w:r>
    </w:p>
    <w:p>
      <w:r>
        <w:pict>
          <v:rect style="width:0;height:1.5pt" o:hralign="center" o:hrstd="t" o:hr="t"/>
        </w:pict>
      </w:r>
    </w:p>
    <w:bookmarkEnd w:id="17"/>
    <w:bookmarkEnd w:id="18"/>
    <w:bookmarkStart w:id="20" w:name="X71d7a2abaf0679a6071d72e1f57f55431b7d4c3"/>
    <w:p>
      <w:pPr>
        <w:pStyle w:val="Heading2"/>
      </w:pPr>
      <w:r>
        <w:t xml:space="preserve">4. China is the largest geographic swing factor</w:t>
      </w:r>
    </w:p>
    <w:p>
      <w:pPr>
        <w:pStyle w:val="FirstParagraph"/>
      </w:pPr>
      <w:r>
        <w:t xml:space="preserve">Greater China revenue increased</w:t>
      </w:r>
      <w:r>
        <w:t xml:space="preserve"> </w:t>
      </w:r>
      <w:r>
        <w:rPr>
          <w:b/>
          <w:bCs/>
        </w:rPr>
        <w:t xml:space="preserve">28%</w:t>
      </w:r>
      <w:r>
        <w:t xml:space="preserve"> </w:t>
      </w:r>
      <w:r>
        <w:t xml:space="preserve">in the March quarter to</w:t>
      </w:r>
      <w:r>
        <w:t xml:space="preserve"> </w:t>
      </w:r>
      <w:r>
        <w:rPr>
          <w:b/>
          <w:bCs/>
        </w:rPr>
        <w:t xml:space="preserve">$20.5 billion</w:t>
      </w:r>
      <w:r>
        <w:t xml:space="preserve">. Management said the region grew 33% during the first half of fiscal 2026, with strong results across iPhone and Mac.</w:t>
      </w:r>
    </w:p>
    <w:p>
      <w:pPr>
        <w:pStyle w:val="BodyText"/>
      </w:pPr>
      <w:r>
        <w:t xml:space="preserve">The June quarter will test whether that rebound reflects a durable improvement in Apple’s competitive position or a combination of promotions, favorable comparisons and product-cycle timing.</w:t>
      </w:r>
    </w:p>
    <w:p>
      <w:pPr>
        <w:pStyle w:val="BodyText"/>
      </w:pPr>
      <w:r>
        <w:t xml:space="preserve">Fiscal Q3 2025 Greater China revenue was only</w:t>
      </w:r>
      <w:r>
        <w:t xml:space="preserve"> </w:t>
      </w:r>
      <w:r>
        <w:rPr>
          <w:b/>
          <w:bCs/>
        </w:rPr>
        <w:t xml:space="preserve">$15.4 billion</w:t>
      </w:r>
      <w:r>
        <w:t xml:space="preserve">, providing a relatively favorable comparison.</w:t>
      </w:r>
    </w:p>
    <w:bookmarkStart w:id="19" w:name="the-forward-looking-catalyst"/>
    <w:p>
      <w:pPr>
        <w:pStyle w:val="Heading3"/>
      </w:pPr>
      <w:r>
        <w:t xml:space="preserve">The forward-looking catalyst</w:t>
      </w:r>
    </w:p>
    <w:p>
      <w:pPr>
        <w:pStyle w:val="FirstParagraph"/>
      </w:pPr>
      <w:r>
        <w:t xml:space="preserve">On July 16—after the reported quarter had largely concluded—Apple received approval to introduce Apple Intelligence in China using local partners, including Alibaba and Baidu. Therefore:</w:t>
      </w:r>
    </w:p>
    <w:p>
      <w:pPr>
        <w:pStyle w:val="Compact"/>
        <w:numPr>
          <w:ilvl w:val="0"/>
          <w:numId w:val="1007"/>
        </w:numPr>
      </w:pPr>
      <w:r>
        <w:t xml:space="preserve">It should not meaningfully affect fiscal Q3 results.</w:t>
      </w:r>
    </w:p>
    <w:p>
      <w:pPr>
        <w:pStyle w:val="Compact"/>
        <w:numPr>
          <w:ilvl w:val="0"/>
          <w:numId w:val="1007"/>
        </w:numPr>
      </w:pPr>
      <w:r>
        <w:t xml:space="preserve">It could influence fiscal Q4 guidance and the upcoming iPhone cycle.</w:t>
      </w:r>
    </w:p>
    <w:p>
      <w:pPr>
        <w:pStyle w:val="Compact"/>
        <w:numPr>
          <w:ilvl w:val="0"/>
          <w:numId w:val="1007"/>
        </w:numPr>
      </w:pPr>
      <w:r>
        <w:t xml:space="preserve">It removes an important competitive disadvantage versus Chinese handset makers.</w:t>
      </w:r>
    </w:p>
    <w:p>
      <w:pPr>
        <w:pStyle w:val="FirstParagraph"/>
      </w:pPr>
      <w:r>
        <w:t xml:space="preserve">Investors should focus on management’s description of current demand and whether Apple Intelligence can improve upgrades without sacrificing Apple’s privacy positioning.</w:t>
      </w:r>
    </w:p>
    <w:p>
      <w:r>
        <w:pict>
          <v:rect style="width:0;height:1.5pt" o:hralign="center" o:hrstd="t" o:hr="t"/>
        </w:pict>
      </w:r>
    </w:p>
    <w:bookmarkEnd w:id="19"/>
    <w:bookmarkEnd w:id="20"/>
    <w:bookmarkStart w:id="21" w:name="Xce1aa1e1e8745a30bbd12f88fcee9ef9cc21c19"/>
    <w:p>
      <w:pPr>
        <w:pStyle w:val="Heading2"/>
      </w:pPr>
      <w:r>
        <w:t xml:space="preserve">5. Mac demand is strong, but supply remains constrained</w:t>
      </w:r>
    </w:p>
    <w:p>
      <w:pPr>
        <w:pStyle w:val="FirstParagraph"/>
      </w:pPr>
      <w:r>
        <w:t xml:space="preserve">Mac revenue rose 6% to</w:t>
      </w:r>
      <w:r>
        <w:t xml:space="preserve"> </w:t>
      </w:r>
      <w:r>
        <w:rPr>
          <w:b/>
          <w:bCs/>
        </w:rPr>
        <w:t xml:space="preserve">$8.4 billion</w:t>
      </w:r>
      <w:r>
        <w:t xml:space="preserve"> </w:t>
      </w:r>
      <w:r>
        <w:t xml:space="preserve">in fiscal Q2 despite supply constraints. Management cited unexpectedly strong demand for:</w:t>
      </w:r>
    </w:p>
    <w:p>
      <w:pPr>
        <w:pStyle w:val="Compact"/>
        <w:numPr>
          <w:ilvl w:val="0"/>
          <w:numId w:val="1008"/>
        </w:numPr>
      </w:pPr>
      <w:r>
        <w:t xml:space="preserve">MacBook Neo</w:t>
      </w:r>
    </w:p>
    <w:p>
      <w:pPr>
        <w:pStyle w:val="Compact"/>
        <w:numPr>
          <w:ilvl w:val="0"/>
          <w:numId w:val="1008"/>
        </w:numPr>
      </w:pPr>
      <w:r>
        <w:t xml:space="preserve">Mac mini</w:t>
      </w:r>
    </w:p>
    <w:p>
      <w:pPr>
        <w:pStyle w:val="Compact"/>
        <w:numPr>
          <w:ilvl w:val="0"/>
          <w:numId w:val="1008"/>
        </w:numPr>
      </w:pPr>
      <w:r>
        <w:t xml:space="preserve">Mac Studio</w:t>
      </w:r>
    </w:p>
    <w:p>
      <w:pPr>
        <w:pStyle w:val="Compact"/>
        <w:numPr>
          <w:ilvl w:val="0"/>
          <w:numId w:val="1008"/>
        </w:numPr>
      </w:pPr>
      <w:r>
        <w:t xml:space="preserve">AI and agentic-computing workloads on Apple silicon</w:t>
      </w:r>
    </w:p>
    <w:p>
      <w:pPr>
        <w:pStyle w:val="FirstParagraph"/>
      </w:pPr>
      <w:r>
        <w:t xml:space="preserve">Apple warned that Mac mini and Mac Studio could take several months to reach supply-demand balance. The June-quarter guide incorporated these constraints.</w:t>
      </w:r>
    </w:p>
    <w:p>
      <w:pPr>
        <w:pStyle w:val="BodyText"/>
      </w:pPr>
      <w:r>
        <w:t xml:space="preserve">This creates two questions:</w:t>
      </w:r>
    </w:p>
    <w:p>
      <w:pPr>
        <w:pStyle w:val="Compact"/>
        <w:numPr>
          <w:ilvl w:val="0"/>
          <w:numId w:val="1009"/>
        </w:numPr>
      </w:pPr>
      <w:r>
        <w:rPr>
          <w:b/>
          <w:bCs/>
        </w:rPr>
        <w:t xml:space="preserve">How much revenue was lost because Apple could not meet demand?</w:t>
      </w:r>
    </w:p>
    <w:p>
      <w:pPr>
        <w:pStyle w:val="Compact"/>
        <w:numPr>
          <w:ilvl w:val="0"/>
          <w:numId w:val="1009"/>
        </w:numPr>
      </w:pPr>
      <w:r>
        <w:rPr>
          <w:b/>
          <w:bCs/>
        </w:rPr>
        <w:t xml:space="preserve">Will supply improve quickly enough to support the September quarter?</w:t>
      </w:r>
    </w:p>
    <w:p>
      <w:pPr>
        <w:pStyle w:val="FirstParagraph"/>
      </w:pPr>
      <w:r>
        <w:t xml:space="preserve">Continued Mac growth despite constraints would be constructive. However, investors should distinguish genuine end-demand strength from revenue that is merely deferred into later periods.</w:t>
      </w:r>
    </w:p>
    <w:p>
      <w:r>
        <w:pict>
          <v:rect style="width:0;height:1.5pt" o:hralign="center" o:hrstd="t" o:hr="t"/>
        </w:pict>
      </w:r>
    </w:p>
    <w:bookmarkEnd w:id="21"/>
    <w:bookmarkStart w:id="23" w:name="Xa99fd380ce3014bde26a26d433ca67c14c5d0b2"/>
    <w:p>
      <w:pPr>
        <w:pStyle w:val="Heading2"/>
      </w:pPr>
      <w:r>
        <w:t xml:space="preserve">6. AI sentiment has shifted decisively in Apple’s favor</w:t>
      </w:r>
    </w:p>
    <w:p>
      <w:pPr>
        <w:pStyle w:val="FirstParagraph"/>
      </w:pPr>
      <w:r>
        <w:t xml:space="preserve">Earlier criticism centered on Apple’s lack of leadership in generative AI. Investor sentiment has since shifted: Apple is increasingly viewed as a potential beneficiary of AI without the enormous capital requirements burdening hyperscalers.</w:t>
      </w:r>
    </w:p>
    <w:p>
      <w:pPr>
        <w:pStyle w:val="BodyText"/>
      </w:pPr>
      <w:r>
        <w:t xml:space="preserve">Apple’s strategy includes:</w:t>
      </w:r>
    </w:p>
    <w:p>
      <w:pPr>
        <w:pStyle w:val="Compact"/>
        <w:numPr>
          <w:ilvl w:val="0"/>
          <w:numId w:val="1010"/>
        </w:numPr>
      </w:pPr>
      <w:r>
        <w:t xml:space="preserve">Integrating AI across its installed base of more than</w:t>
      </w:r>
      <w:r>
        <w:t xml:space="preserve"> </w:t>
      </w:r>
      <w:r>
        <w:rPr>
          <w:b/>
          <w:bCs/>
        </w:rPr>
        <w:t xml:space="preserve">2.5 billion active devices</w:t>
      </w:r>
    </w:p>
    <w:p>
      <w:pPr>
        <w:pStyle w:val="Compact"/>
        <w:numPr>
          <w:ilvl w:val="0"/>
          <w:numId w:val="1010"/>
        </w:numPr>
      </w:pPr>
      <w:r>
        <w:t xml:space="preserve">Emphasizing on-device processing and privacy</w:t>
      </w:r>
    </w:p>
    <w:p>
      <w:pPr>
        <w:pStyle w:val="Compact"/>
        <w:numPr>
          <w:ilvl w:val="0"/>
          <w:numId w:val="1010"/>
        </w:numPr>
      </w:pPr>
      <w:r>
        <w:t xml:space="preserve">Using external models where appropriate</w:t>
      </w:r>
    </w:p>
    <w:p>
      <w:pPr>
        <w:pStyle w:val="Compact"/>
        <w:numPr>
          <w:ilvl w:val="0"/>
          <w:numId w:val="1010"/>
        </w:numPr>
      </w:pPr>
      <w:r>
        <w:t xml:space="preserve">Increasing internal R&amp;D rather than building hyperscaler-scale infrastructure</w:t>
      </w:r>
    </w:p>
    <w:p>
      <w:pPr>
        <w:pStyle w:val="Compact"/>
        <w:numPr>
          <w:ilvl w:val="0"/>
          <w:numId w:val="1010"/>
        </w:numPr>
      </w:pPr>
      <w:r>
        <w:t xml:space="preserve">Positioning Mac as a platform for local AI and agentic workloads</w:t>
      </w:r>
    </w:p>
    <w:p>
      <w:pPr>
        <w:pStyle w:val="Compact"/>
        <w:numPr>
          <w:ilvl w:val="0"/>
          <w:numId w:val="1010"/>
        </w:numPr>
      </w:pPr>
      <w:r>
        <w:t xml:space="preserve">Monetizing AI through device upgrades, Services and ecosystem retention</w:t>
      </w:r>
    </w:p>
    <w:p>
      <w:pPr>
        <w:pStyle w:val="FirstParagraph"/>
      </w:pPr>
      <w:r>
        <w:t xml:space="preserve">The recent rollout of a more personalized Siri and approval of Apple Intelligence in China strengthen that narrative. But tomorrow’s report must show that the strategy can eventually support incremental revenue—not simply lower capital expenditures.</w:t>
      </w:r>
    </w:p>
    <w:bookmarkStart w:id="22" w:name="questions-for-management"/>
    <w:p>
      <w:pPr>
        <w:pStyle w:val="Heading3"/>
      </w:pPr>
      <w:r>
        <w:t xml:space="preserve">Questions for management</w:t>
      </w:r>
    </w:p>
    <w:p>
      <w:pPr>
        <w:pStyle w:val="Compact"/>
        <w:numPr>
          <w:ilvl w:val="0"/>
          <w:numId w:val="1011"/>
        </w:numPr>
      </w:pPr>
      <w:r>
        <w:t xml:space="preserve">What has user engagement with the new Siri looked like?</w:t>
      </w:r>
    </w:p>
    <w:p>
      <w:pPr>
        <w:pStyle w:val="Compact"/>
        <w:numPr>
          <w:ilvl w:val="0"/>
          <w:numId w:val="1011"/>
        </w:numPr>
      </w:pPr>
      <w:r>
        <w:t xml:space="preserve">Is Apple Intelligence affecting device upgrade rates?</w:t>
      </w:r>
    </w:p>
    <w:p>
      <w:pPr>
        <w:pStyle w:val="Compact"/>
        <w:numPr>
          <w:ilvl w:val="0"/>
          <w:numId w:val="1011"/>
        </w:numPr>
      </w:pPr>
      <w:r>
        <w:t xml:space="preserve">How are responsibilities divided between Apple’s models and Google’s technology?</w:t>
      </w:r>
    </w:p>
    <w:p>
      <w:pPr>
        <w:pStyle w:val="Compact"/>
        <w:numPr>
          <w:ilvl w:val="0"/>
          <w:numId w:val="1011"/>
        </w:numPr>
      </w:pPr>
      <w:r>
        <w:t xml:space="preserve">Will AI investment continue driving OpEx substantially above revenue growth?</w:t>
      </w:r>
    </w:p>
    <w:p>
      <w:pPr>
        <w:pStyle w:val="Compact"/>
        <w:numPr>
          <w:ilvl w:val="0"/>
          <w:numId w:val="1011"/>
        </w:numPr>
      </w:pPr>
      <w:r>
        <w:t xml:space="preserve">Is Apple considering AI-related acquisitions or additional infrastructure spending?</w:t>
      </w:r>
    </w:p>
    <w:p>
      <w:r>
        <w:pict>
          <v:rect style="width:0;height:1.5pt" o:hralign="center" o:hrstd="t" o:hr="t"/>
        </w:pict>
      </w:r>
    </w:p>
    <w:bookmarkEnd w:id="22"/>
    <w:bookmarkEnd w:id="23"/>
    <w:bookmarkStart w:id="24" w:name="X362f755099b8b740118380dd5b61b76ed789b15"/>
    <w:p>
      <w:pPr>
        <w:pStyle w:val="Heading2"/>
      </w:pPr>
      <w:r>
        <w:t xml:space="preserve">7. Tim Cook’s final earnings call adds strategic significance</w:t>
      </w:r>
    </w:p>
    <w:p>
      <w:pPr>
        <w:pStyle w:val="FirstParagraph"/>
      </w:pPr>
      <w:r>
        <w:t xml:space="preserve">Tomorrow is expected to be Tim Cook’s final earnings call as CEO before</w:t>
      </w:r>
      <w:r>
        <w:t xml:space="preserve"> </w:t>
      </w:r>
      <w:r>
        <w:rPr>
          <w:b/>
          <w:bCs/>
        </w:rPr>
        <w:t xml:space="preserve">John Ternus takes over on September 1</w:t>
      </w:r>
      <w:r>
        <w:t xml:space="preserve">, with Cook becoming executive chairman.</w:t>
      </w:r>
    </w:p>
    <w:p>
      <w:pPr>
        <w:pStyle w:val="BodyText"/>
      </w:pPr>
      <w:r>
        <w:t xml:space="preserve">The transition was announced from a position of operating strength, but investors will want reassurance that Apple’s financial discipline will continue.</w:t>
      </w:r>
    </w:p>
    <w:p>
      <w:pPr>
        <w:pStyle w:val="BodyText"/>
      </w:pPr>
      <w:r>
        <w:t xml:space="preserve">Ternus has already said he and CFO Kevan Parekh intend to preserve Apple’s deliberate approach to financial decision-making. Still, investors should listen for subtle changes involving:</w:t>
      </w:r>
    </w:p>
    <w:p>
      <w:pPr>
        <w:pStyle w:val="Compact"/>
        <w:numPr>
          <w:ilvl w:val="0"/>
          <w:numId w:val="1012"/>
        </w:numPr>
      </w:pPr>
      <w:r>
        <w:t xml:space="preserve">Acquisition appetite</w:t>
      </w:r>
    </w:p>
    <w:p>
      <w:pPr>
        <w:pStyle w:val="Compact"/>
        <w:numPr>
          <w:ilvl w:val="0"/>
          <w:numId w:val="1012"/>
        </w:numPr>
      </w:pPr>
      <w:r>
        <w:t xml:space="preserve">AI investment</w:t>
      </w:r>
    </w:p>
    <w:p>
      <w:pPr>
        <w:pStyle w:val="Compact"/>
        <w:numPr>
          <w:ilvl w:val="0"/>
          <w:numId w:val="1012"/>
        </w:numPr>
      </w:pPr>
      <w:r>
        <w:t xml:space="preserve">Product-development priorities</w:t>
      </w:r>
    </w:p>
    <w:p>
      <w:pPr>
        <w:pStyle w:val="Compact"/>
        <w:numPr>
          <w:ilvl w:val="0"/>
          <w:numId w:val="1012"/>
        </w:numPr>
      </w:pPr>
      <w:r>
        <w:t xml:space="preserve">Supply-chain strategy</w:t>
      </w:r>
    </w:p>
    <w:p>
      <w:pPr>
        <w:pStyle w:val="Compact"/>
        <w:numPr>
          <w:ilvl w:val="0"/>
          <w:numId w:val="1012"/>
        </w:numPr>
      </w:pPr>
      <w:r>
        <w:t xml:space="preserve">Pricing philosophy</w:t>
      </w:r>
    </w:p>
    <w:p>
      <w:pPr>
        <w:pStyle w:val="Compact"/>
        <w:numPr>
          <w:ilvl w:val="0"/>
          <w:numId w:val="1012"/>
        </w:numPr>
      </w:pPr>
      <w:r>
        <w:t xml:space="preserve">Capital returns</w:t>
      </w:r>
    </w:p>
    <w:p>
      <w:pPr>
        <w:pStyle w:val="FirstParagraph"/>
      </w:pPr>
      <w:r>
        <w:t xml:space="preserve">Apple authorized another</w:t>
      </w:r>
      <w:r>
        <w:t xml:space="preserve"> </w:t>
      </w:r>
      <w:r>
        <w:rPr>
          <w:b/>
          <w:bCs/>
        </w:rPr>
        <w:t xml:space="preserve">$100 billion of repurchases</w:t>
      </w:r>
      <w:r>
        <w:t xml:space="preserve"> </w:t>
      </w:r>
      <w:r>
        <w:t xml:space="preserve">last quarter but also stopped treating net-cash neutrality as a formal target. Any explanation of the new balance-sheet framework could be important, particularly with the shares near record highs.</w:t>
      </w:r>
    </w:p>
    <w:p>
      <w:r>
        <w:pict>
          <v:rect style="width:0;height:1.5pt" o:hralign="center" o:hrstd="t" o:hr="t"/>
        </w:pict>
      </w:r>
    </w:p>
    <w:bookmarkEnd w:id="24"/>
    <w:bookmarkStart w:id="28" w:name="stock-setup-and-likely-reaction-function"/>
    <w:p>
      <w:pPr>
        <w:pStyle w:val="Heading2"/>
      </w:pPr>
      <w:r>
        <w:t xml:space="preserve">Stock setup and likely reaction function</w:t>
      </w:r>
    </w:p>
    <w:p>
      <w:pPr>
        <w:pStyle w:val="FirstParagraph"/>
      </w:pPr>
      <w:r>
        <w:t xml:space="preserve">Apple closed July 29 at</w:t>
      </w:r>
      <w:r>
        <w:t xml:space="preserve"> </w:t>
      </w:r>
      <w:r>
        <w:rPr>
          <w:b/>
          <w:bCs/>
        </w:rPr>
        <w:t xml:space="preserve">$341.52</w:t>
      </w:r>
      <w:r>
        <w:t xml:space="preserve">, up approximately</w:t>
      </w:r>
      <w:r>
        <w:t xml:space="preserve"> </w:t>
      </w:r>
      <w:r>
        <w:rPr>
          <w:b/>
          <w:bCs/>
        </w:rPr>
        <w:t xml:space="preserve">18% from June 30</w:t>
      </w:r>
      <w:r>
        <w:t xml:space="preserve">. The stock has benefited from:</w:t>
      </w:r>
    </w:p>
    <w:p>
      <w:pPr>
        <w:pStyle w:val="Compact"/>
        <w:numPr>
          <w:ilvl w:val="0"/>
          <w:numId w:val="1013"/>
        </w:numPr>
      </w:pPr>
      <w:r>
        <w:t xml:space="preserve">Strong iPhone demand</w:t>
      </w:r>
    </w:p>
    <w:p>
      <w:pPr>
        <w:pStyle w:val="Compact"/>
        <w:numPr>
          <w:ilvl w:val="0"/>
          <w:numId w:val="1013"/>
        </w:numPr>
      </w:pPr>
      <w:r>
        <w:t xml:space="preserve">A sharp China recovery</w:t>
      </w:r>
    </w:p>
    <w:p>
      <w:pPr>
        <w:pStyle w:val="Compact"/>
        <w:numPr>
          <w:ilvl w:val="0"/>
          <w:numId w:val="1013"/>
        </w:numPr>
      </w:pPr>
      <w:r>
        <w:t xml:space="preserve">Apple Intelligence’s approval in China</w:t>
      </w:r>
    </w:p>
    <w:p>
      <w:pPr>
        <w:pStyle w:val="Compact"/>
        <w:numPr>
          <w:ilvl w:val="0"/>
          <w:numId w:val="1013"/>
        </w:numPr>
      </w:pPr>
      <w:r>
        <w:t xml:space="preserve">A more favorable view of Apple’s lower-capital-intensity AI strategy</w:t>
      </w:r>
    </w:p>
    <w:p>
      <w:pPr>
        <w:pStyle w:val="Compact"/>
        <w:numPr>
          <w:ilvl w:val="0"/>
          <w:numId w:val="1013"/>
        </w:numPr>
      </w:pPr>
      <w:r>
        <w:t xml:space="preserve">Rotation away from AI infrastructure stocks</w:t>
      </w:r>
    </w:p>
    <w:p>
      <w:pPr>
        <w:pStyle w:val="Compact"/>
        <w:numPr>
          <w:ilvl w:val="0"/>
          <w:numId w:val="1013"/>
        </w:numPr>
      </w:pPr>
      <w:r>
        <w:t xml:space="preserve">Expectations for future device categories and refresh cycles</w:t>
      </w:r>
    </w:p>
    <w:p>
      <w:pPr>
        <w:pStyle w:val="FirstParagraph"/>
      </w:pPr>
      <w:r>
        <w:t xml:space="preserve">This leaves limited room for disappointment.</w:t>
      </w:r>
    </w:p>
    <w:bookmarkStart w:id="25" w:name="bull-case"/>
    <w:p>
      <w:pPr>
        <w:pStyle w:val="Heading3"/>
      </w:pPr>
      <w:r>
        <w:t xml:space="preserve">Bull case</w:t>
      </w:r>
    </w:p>
    <w:p>
      <w:pPr>
        <w:pStyle w:val="Compact"/>
        <w:numPr>
          <w:ilvl w:val="0"/>
          <w:numId w:val="1014"/>
        </w:numPr>
      </w:pPr>
      <w:r>
        <w:t xml:space="preserve">Revenue exceeds $110 billion</w:t>
      </w:r>
    </w:p>
    <w:p>
      <w:pPr>
        <w:pStyle w:val="Compact"/>
        <w:numPr>
          <w:ilvl w:val="0"/>
          <w:numId w:val="1014"/>
        </w:numPr>
      </w:pPr>
      <w:r>
        <w:t xml:space="preserve">iPhone growth stays near 20%</w:t>
      </w:r>
    </w:p>
    <w:p>
      <w:pPr>
        <w:pStyle w:val="Compact"/>
        <w:numPr>
          <w:ilvl w:val="0"/>
          <w:numId w:val="1014"/>
        </w:numPr>
      </w:pPr>
      <w:r>
        <w:t xml:space="preserve">Services grows in the mid-to-high teens</w:t>
      </w:r>
    </w:p>
    <w:p>
      <w:pPr>
        <w:pStyle w:val="Compact"/>
        <w:numPr>
          <w:ilvl w:val="0"/>
          <w:numId w:val="1014"/>
        </w:numPr>
      </w:pPr>
      <w:r>
        <w:t xml:space="preserve">Gross margin beats 48.5%</w:t>
      </w:r>
    </w:p>
    <w:p>
      <w:pPr>
        <w:pStyle w:val="Compact"/>
        <w:numPr>
          <w:ilvl w:val="0"/>
          <w:numId w:val="1014"/>
        </w:numPr>
      </w:pPr>
      <w:r>
        <w:t xml:space="preserve">China remains strongly positive</w:t>
      </w:r>
    </w:p>
    <w:p>
      <w:pPr>
        <w:pStyle w:val="Compact"/>
        <w:numPr>
          <w:ilvl w:val="0"/>
          <w:numId w:val="1014"/>
        </w:numPr>
      </w:pPr>
      <w:r>
        <w:t xml:space="preserve">September guidance indicates continued double-digit growth</w:t>
      </w:r>
    </w:p>
    <w:p>
      <w:pPr>
        <w:pStyle w:val="Compact"/>
        <w:numPr>
          <w:ilvl w:val="0"/>
          <w:numId w:val="1014"/>
        </w:numPr>
      </w:pPr>
      <w:r>
        <w:t xml:space="preserve">Memory pressure is manageable through pricing and mix</w:t>
      </w:r>
    </w:p>
    <w:bookmarkEnd w:id="25"/>
    <w:bookmarkStart w:id="26" w:name="base-case"/>
    <w:p>
      <w:pPr>
        <w:pStyle w:val="Heading3"/>
      </w:pPr>
      <w:r>
        <w:t xml:space="preserve">Base case</w:t>
      </w:r>
    </w:p>
    <w:p>
      <w:pPr>
        <w:pStyle w:val="Compact"/>
        <w:numPr>
          <w:ilvl w:val="0"/>
          <w:numId w:val="1015"/>
        </w:numPr>
      </w:pPr>
      <w:r>
        <w:t xml:space="preserve">Revenue lands around</w:t>
      </w:r>
      <w:r>
        <w:t xml:space="preserve"> </w:t>
      </w:r>
      <m:oMath>
        <m:r>
          <m:t>108</m:t>
        </m:r>
        <m:r>
          <m:rPr>
            <m:sty m:val="p"/>
          </m:rPr>
          <m:t>–</m:t>
        </m:r>
      </m:oMath>
      <w:r>
        <w:t xml:space="preserve">110 billion</w:t>
      </w:r>
    </w:p>
    <w:p>
      <w:pPr>
        <w:pStyle w:val="Compact"/>
        <w:numPr>
          <w:ilvl w:val="0"/>
          <w:numId w:val="1015"/>
        </w:numPr>
      </w:pPr>
      <w:r>
        <w:t xml:space="preserve">iPhone and Services remain strong but decelerate</w:t>
      </w:r>
    </w:p>
    <w:p>
      <w:pPr>
        <w:pStyle w:val="Compact"/>
        <w:numPr>
          <w:ilvl w:val="0"/>
          <w:numId w:val="1015"/>
        </w:numPr>
      </w:pPr>
      <w:r>
        <w:t xml:space="preserve">Gross margin is near 48%</w:t>
      </w:r>
    </w:p>
    <w:p>
      <w:pPr>
        <w:pStyle w:val="Compact"/>
        <w:numPr>
          <w:ilvl w:val="0"/>
          <w:numId w:val="1015"/>
        </w:numPr>
      </w:pPr>
      <w:r>
        <w:t xml:space="preserve">September growth remains healthy, but memory costs pressure margins</w:t>
      </w:r>
    </w:p>
    <w:p>
      <w:pPr>
        <w:pStyle w:val="Compact"/>
        <w:numPr>
          <w:ilvl w:val="0"/>
          <w:numId w:val="1015"/>
        </w:numPr>
      </w:pPr>
      <w:r>
        <w:t xml:space="preserve">Shares react modestly because the result broadly matches elevated expectations</w:t>
      </w:r>
    </w:p>
    <w:bookmarkEnd w:id="26"/>
    <w:bookmarkStart w:id="27" w:name="bear-case"/>
    <w:p>
      <w:pPr>
        <w:pStyle w:val="Heading3"/>
      </w:pPr>
      <w:r>
        <w:t xml:space="preserve">Bear case</w:t>
      </w:r>
    </w:p>
    <w:p>
      <w:pPr>
        <w:pStyle w:val="Compact"/>
        <w:numPr>
          <w:ilvl w:val="0"/>
          <w:numId w:val="1016"/>
        </w:numPr>
      </w:pPr>
      <w:r>
        <w:t xml:space="preserve">Revenue lands near the low end of guidance</w:t>
      </w:r>
    </w:p>
    <w:p>
      <w:pPr>
        <w:pStyle w:val="Compact"/>
        <w:numPr>
          <w:ilvl w:val="0"/>
          <w:numId w:val="1016"/>
        </w:numPr>
      </w:pPr>
      <w:r>
        <w:t xml:space="preserve">iPhone growth slows sharply</w:t>
      </w:r>
    </w:p>
    <w:p>
      <w:pPr>
        <w:pStyle w:val="Compact"/>
        <w:numPr>
          <w:ilvl w:val="0"/>
          <w:numId w:val="1016"/>
        </w:numPr>
      </w:pPr>
      <w:r>
        <w:t xml:space="preserve">China gives back part of its March-quarter rebound</w:t>
      </w:r>
    </w:p>
    <w:p>
      <w:pPr>
        <w:pStyle w:val="Compact"/>
        <w:numPr>
          <w:ilvl w:val="0"/>
          <w:numId w:val="1016"/>
        </w:numPr>
      </w:pPr>
      <w:r>
        <w:t xml:space="preserve">Gross margin misses or September guidance signals a meaningful decline</w:t>
      </w:r>
    </w:p>
    <w:p>
      <w:pPr>
        <w:pStyle w:val="Compact"/>
        <w:numPr>
          <w:ilvl w:val="0"/>
          <w:numId w:val="1016"/>
        </w:numPr>
      </w:pPr>
      <w:r>
        <w:t xml:space="preserve">Management discusses heavier AI spending without a clear monetization path</w:t>
      </w:r>
    </w:p>
    <w:p>
      <w:pPr>
        <w:pStyle w:val="Compact"/>
        <w:numPr>
          <w:ilvl w:val="0"/>
          <w:numId w:val="1016"/>
        </w:numPr>
      </w:pPr>
      <w:r>
        <w:t xml:space="preserve">The stock’s premium multiple compresses despite acceptable absolute results</w:t>
      </w:r>
    </w:p>
    <w:p>
      <w:r>
        <w:pict>
          <v:rect style="width:0;height:1.5pt" o:hralign="center" o:hrstd="t" o:hr="t"/>
        </w:pict>
      </w:r>
    </w:p>
    <w:bookmarkEnd w:id="27"/>
    <w:bookmarkEnd w:id="28"/>
    <w:bookmarkStart w:id="30" w:name="bottom-line"/>
    <w:p>
      <w:pPr>
        <w:pStyle w:val="Heading2"/>
      </w:pPr>
      <w:r>
        <w:t xml:space="preserve">Bottom line</w:t>
      </w:r>
    </w:p>
    <w:p>
      <w:pPr>
        <w:pStyle w:val="FirstParagraph"/>
      </w:pPr>
      <w:r>
        <w:t xml:space="preserve">Apple’s June-quarter report is likely to be strong in absolute terms. Management’s own guidance implies mid-teens revenue growth, supported by iPhone, Services and China.</w:t>
      </w:r>
    </w:p>
    <w:p>
      <w:pPr>
        <w:pStyle w:val="BodyText"/>
      </w:pPr>
      <w:r>
        <w:t xml:space="preserve">But this is primarily an</w:t>
      </w:r>
      <w:r>
        <w:t xml:space="preserve"> </w:t>
      </w:r>
      <w:r>
        <w:rPr>
          <w:b/>
          <w:bCs/>
        </w:rPr>
        <w:t xml:space="preserve">expectations and outlook event</w:t>
      </w:r>
      <w:r>
        <w:t xml:space="preserve">, not a simple beat-or-miss quarter. With the shares near $342, the valuation above historical norms and market capitalization around $5 trillion, the current price assumes that Apple can sustain elevated growth while avoiding the margin and capital-intensity problems affecting other technology companies.</w:t>
      </w:r>
    </w:p>
    <w:p>
      <w:pPr>
        <w:pStyle w:val="BodyText"/>
      </w:pPr>
      <w:r>
        <w:t xml:space="preserve">The most important number tomorrow may therefore be</w:t>
      </w:r>
      <w:r>
        <w:t xml:space="preserve"> </w:t>
      </w:r>
      <w:r>
        <w:rPr>
          <w:b/>
          <w:bCs/>
        </w:rPr>
        <w:t xml:space="preserve">September-quarter gross-margin guidance</w:t>
      </w:r>
      <w:r>
        <w:t xml:space="preserve">. The most important commentary will concern</w:t>
      </w:r>
      <w:r>
        <w:t xml:space="preserve"> </w:t>
      </w:r>
      <w:r>
        <w:rPr>
          <w:b/>
          <w:bCs/>
        </w:rPr>
        <w:t xml:space="preserve">memory costs, China, iPhone durability and Apple’s AI economics</w:t>
      </w:r>
      <w:r>
        <w:t xml:space="preserve">. A clean beat accompanied by resilient forward margins would support the premium. A strong quarter paired with cautious margin guidance could still produce a negative stock reaction.</w:t>
      </w:r>
    </w:p>
    <w:p>
      <w:r>
        <w:pict>
          <v:rect style="width:0;height:1.5pt" o:hralign="center" o:hrstd="t" o:hr="t"/>
        </w:pict>
      </w:r>
    </w:p>
    <w:bookmarkStart w:id="29" w:name="research-basis"/>
    <w:p>
      <w:pPr>
        <w:pStyle w:val="Heading3"/>
      </w:pPr>
      <w:r>
        <w:t xml:space="preserve">Research basis</w:t>
      </w:r>
    </w:p>
    <w:p>
      <w:pPr>
        <w:pStyle w:val="Compact"/>
        <w:numPr>
          <w:ilvl w:val="0"/>
          <w:numId w:val="1017"/>
        </w:numPr>
      </w:pPr>
      <w:r>
        <w:t xml:space="preserve">Apple fiscal Q2 2026 earnings release and April 30 earnings call</w:t>
      </w:r>
    </w:p>
    <w:p>
      <w:pPr>
        <w:pStyle w:val="Compact"/>
        <w:numPr>
          <w:ilvl w:val="0"/>
          <w:numId w:val="1017"/>
        </w:numPr>
      </w:pPr>
      <w:r>
        <w:t xml:space="preserve">Apple fiscal Q3 2025 earnings release</w:t>
      </w:r>
    </w:p>
    <w:p>
      <w:pPr>
        <w:pStyle w:val="Compact"/>
        <w:numPr>
          <w:ilvl w:val="0"/>
          <w:numId w:val="1017"/>
        </w:numPr>
      </w:pPr>
      <w:r>
        <w:t xml:space="preserve">Apple guidance for revenue, gross margin, expenses, tax rate and Services growth</w:t>
      </w:r>
    </w:p>
    <w:p>
      <w:pPr>
        <w:pStyle w:val="Compact"/>
        <w:numPr>
          <w:ilvl w:val="0"/>
          <w:numId w:val="1017"/>
        </w:numPr>
      </w:pPr>
      <w:r>
        <w:t xml:space="preserve">Recent Apple-specific news through July 29 from Reuters, CNBC, Bloomberg, The Wall Street Journal and other aggregated sources</w:t>
      </w:r>
    </w:p>
    <w:p>
      <w:pPr>
        <w:pStyle w:val="Compact"/>
        <w:numPr>
          <w:ilvl w:val="0"/>
          <w:numId w:val="1017"/>
        </w:numPr>
      </w:pPr>
      <w:r>
        <w:t xml:space="preserve">AAPL closing-price history through July 29, 2026</w:t>
      </w:r>
    </w:p>
    <w:bookmarkEnd w:id="29"/>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2026-07-29T19:32:00Z</dcterms:created>
  <dcterms:modified xsi:type="dcterms:W3CDTF">2026-07-29T19:32:00Z</dcterms:modified>
</cp:coreProperties>
</file>

<file path=docProps/custom.xml><?xml version="1.0" encoding="utf-8"?>
<Properties xmlns="http://schemas.openxmlformats.org/officeDocument/2006/custom-properties" xmlns:vt="http://schemas.openxmlformats.org/officeDocument/2006/docPropsVTypes"/>
</file>