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apple-aapl-fy2026-q3-earnings-preview"/>
    <w:p>
      <w:pPr>
        <w:pStyle w:val="Heading1"/>
      </w:pPr>
      <w:r>
        <w:t xml:space="preserve">Apple (AAPL) FY2026 Q3 Earnings Preview</w:t>
      </w:r>
    </w:p>
    <w:p>
      <w:pPr>
        <w:pStyle w:val="FirstParagraph"/>
      </w:pPr>
      <w:r>
        <w:rPr>
          <w:b/>
          <w:bCs/>
        </w:rPr>
        <w:t xml:space="preserve">Report date:</w:t>
      </w:r>
      <w:r>
        <w:t xml:space="preserve"> </w:t>
      </w:r>
      <w:r>
        <w:t xml:space="preserve">Thursday, July 30, 2026, after the U.S. market close</w:t>
      </w:r>
      <w:r>
        <w:br/>
      </w:r>
      <w:r>
        <w:rPr>
          <w:b/>
          <w:bCs/>
        </w:rPr>
        <w:t xml:space="preserve">Fiscal period:</w:t>
      </w:r>
      <w:r>
        <w:t xml:space="preserve"> </w:t>
      </w:r>
      <w:r>
        <w:t xml:space="preserve">June quarter (Apple fiscal Q3)</w:t>
      </w:r>
      <w:r>
        <w:br/>
      </w:r>
      <w:r>
        <w:rPr>
          <w:b/>
          <w:bCs/>
        </w:rPr>
        <w:t xml:space="preserve">Key event:</w:t>
      </w:r>
      <w:r>
        <w:t xml:space="preserve"> </w:t>
      </w:r>
      <w:r>
        <w:t xml:space="preserve">Tim Cook’s final earnings call as CEO ahead of John Ternus assuming the CEO role on</w:t>
      </w:r>
      <w:r>
        <w:t xml:space="preserve"> </w:t>
      </w:r>
      <w:r>
        <w:rPr>
          <w:b/>
          <w:bCs/>
        </w:rPr>
        <w:t xml:space="preserve">September 1, 2026</w:t>
      </w:r>
      <w:r>
        <w:t xml:space="preserve">.</w:t>
      </w:r>
    </w:p>
    <w:bookmarkStart w:id="9" w:name="bottom-line"/>
    <w:p>
      <w:pPr>
        <w:pStyle w:val="Heading2"/>
      </w:pPr>
      <w:r>
        <w:t xml:space="preserve">Bottom line</w:t>
      </w:r>
    </w:p>
    <w:p>
      <w:pPr>
        <w:pStyle w:val="FirstParagraph"/>
      </w:pPr>
      <w:r>
        <w:t xml:space="preserve">Apple enters earnings with</w:t>
      </w:r>
      <w:r>
        <w:t xml:space="preserve"> </w:t>
      </w:r>
      <w:r>
        <w:rPr>
          <w:b/>
          <w:bCs/>
        </w:rPr>
        <w:t xml:space="preserve">operational momentum strong but expectations elevated</w:t>
      </w:r>
      <w:r>
        <w:t xml:space="preserve">. Management guided June-quarter revenue to grow</w:t>
      </w:r>
      <w:r>
        <w:t xml:space="preserve"> </w:t>
      </w:r>
      <w:r>
        <w:rPr>
          <w:b/>
          <w:bCs/>
        </w:rPr>
        <w:t xml:space="preserve">14%–17% year over year</w:t>
      </w:r>
      <w:r>
        <w:t xml:space="preserve">, implying approximately</w:t>
      </w:r>
      <w:r>
        <w:t xml:space="preserve"> </w:t>
      </w:r>
      <w:r>
        <w:rPr>
          <w:b/>
          <w:bCs/>
        </w:rPr>
        <w:t xml:space="preserve">$107.2 billion to $110.0 billion</w:t>
      </w:r>
      <w:r>
        <w:t xml:space="preserve"> </w:t>
      </w:r>
      <w:r>
        <w:t xml:space="preserve">of revenue versus $94.0 billion in FY2025 Q3. That would represent a major acceleration from last year’s 10% June-quarter growth.</w:t>
      </w:r>
    </w:p>
    <w:p>
      <w:pPr>
        <w:pStyle w:val="BodyText"/>
      </w:pPr>
      <w:r>
        <w:t xml:space="preserve">The near-term setup rests on three pillars:</w:t>
      </w:r>
    </w:p>
    <w:p>
      <w:pPr>
        <w:pStyle w:val="Compact"/>
        <w:numPr>
          <w:ilvl w:val="0"/>
          <w:numId w:val="1001"/>
        </w:numPr>
      </w:pPr>
      <w:r>
        <w:rPr>
          <w:b/>
          <w:bCs/>
        </w:rPr>
        <w:t xml:space="preserve">iPhone strength:</w:t>
      </w:r>
      <w:r>
        <w:t xml:space="preserve"> </w:t>
      </w:r>
      <w:r>
        <w:t xml:space="preserve">The iPhone 17 family drove 22% growth in the March quarter, with Apple describing the launch-to-date cycle as its strongest ever.</w:t>
      </w:r>
    </w:p>
    <w:p>
      <w:pPr>
        <w:pStyle w:val="Compact"/>
        <w:numPr>
          <w:ilvl w:val="0"/>
          <w:numId w:val="1001"/>
        </w:numPr>
      </w:pPr>
      <w:r>
        <w:rPr>
          <w:b/>
          <w:bCs/>
        </w:rPr>
        <w:t xml:space="preserve">Services durability:</w:t>
      </w:r>
      <w:r>
        <w:t xml:space="preserve"> </w:t>
      </w:r>
      <w:r>
        <w:t xml:space="preserve">Services reached a $31 billion quarterly record in FY2026 Q2, up 16%, supported by the growing installed base and expanding advertising, cloud, payments, and subscription businesses.</w:t>
      </w:r>
    </w:p>
    <w:p>
      <w:pPr>
        <w:pStyle w:val="Compact"/>
        <w:numPr>
          <w:ilvl w:val="0"/>
          <w:numId w:val="1001"/>
        </w:numPr>
      </w:pPr>
      <w:r>
        <w:rPr>
          <w:b/>
          <w:bCs/>
        </w:rPr>
        <w:t xml:space="preserve">China and emerging-market momentum:</w:t>
      </w:r>
      <w:r>
        <w:t xml:space="preserve"> </w:t>
      </w:r>
      <w:r>
        <w:t xml:space="preserve">Greater China grew 28% in the March quarter, while India and other emerging markets have continued to add new users across products.</w:t>
      </w:r>
    </w:p>
    <w:p>
      <w:pPr>
        <w:pStyle w:val="FirstParagraph"/>
      </w:pPr>
      <w:r>
        <w:t xml:space="preserve">The principal tension is</w:t>
      </w:r>
      <w:r>
        <w:t xml:space="preserve"> </w:t>
      </w:r>
      <w:r>
        <w:rPr>
          <w:b/>
          <w:bCs/>
        </w:rPr>
        <w:t xml:space="preserve">profitability and forward guidance</w:t>
      </w:r>
      <w:r>
        <w:t xml:space="preserve">. Apple has warned that memory costs will increase materially after the June quarter. It has already raised prices on select Macs and iPads, and investors will want evidence that pricing, mix, supply-chain management, and Services can protect margins through the September and December quarters.</w:t>
      </w:r>
    </w:p>
    <w:p>
      <w:r>
        <w:pict>
          <v:rect style="width:0;height:1.5pt" o:hralign="center" o:hrstd="t" o:hr="t"/>
        </w:pict>
      </w:r>
    </w:p>
    <w:bookmarkEnd w:id="9"/>
    <w:bookmarkStart w:id="10" w:name="the-setup-a-beat-may-not-be-enough"/>
    <w:p>
      <w:pPr>
        <w:pStyle w:val="Heading2"/>
      </w:pPr>
      <w:r>
        <w:t xml:space="preserve">The setup: a beat may not be enough</w:t>
      </w:r>
    </w:p>
    <w:p>
      <w:pPr>
        <w:pStyle w:val="FirstParagraph"/>
      </w:pPr>
      <w:r>
        <w:t xml:space="preserve">AAPL closed at</w:t>
      </w:r>
      <w:r>
        <w:t xml:space="preserve"> </w:t>
      </w:r>
      <w:r>
        <w:rPr>
          <w:b/>
          <w:bCs/>
        </w:rPr>
        <w:t xml:space="preserve">$341.57 on July 29</w:t>
      </w:r>
      <w:r>
        <w:t xml:space="preserve">, up roughly</w:t>
      </w:r>
      <w:r>
        <w:t xml:space="preserve"> </w:t>
      </w:r>
      <w:r>
        <w:rPr>
          <w:b/>
          <w:bCs/>
        </w:rPr>
        <w:t xml:space="preserve">26%</w:t>
      </w:r>
      <w:r>
        <w:t xml:space="preserve"> </w:t>
      </w:r>
      <w:r>
        <w:t xml:space="preserve">from the April 30 close immediately before the prior earnings release and approximately</w:t>
      </w:r>
      <w:r>
        <w:t xml:space="preserve"> </w:t>
      </w:r>
      <w:r>
        <w:rPr>
          <w:b/>
          <w:bCs/>
        </w:rPr>
        <w:t xml:space="preserve">24%</w:t>
      </w:r>
      <w:r>
        <w:t xml:space="preserve"> </w:t>
      </w:r>
      <w:r>
        <w:t xml:space="preserve">from its June 25 low. The stock is near record levels, briefly approached a $5 trillion market capitalization this week, and has benefited from investors favoring Apple’s comparatively asset-light AI strategy over the heavier capital-spending models of several mega-cap peers.</w:t>
      </w:r>
    </w:p>
    <w:p>
      <w:pPr>
        <w:pStyle w:val="BodyText"/>
      </w:pPr>
      <w:r>
        <w:t xml:space="preserve">That leaves the market focused less on whether Apple can exceed the June-quarter revenue guide and more on:</w:t>
      </w:r>
    </w:p>
    <w:p>
      <w:pPr>
        <w:pStyle w:val="Compact"/>
        <w:numPr>
          <w:ilvl w:val="0"/>
          <w:numId w:val="1002"/>
        </w:numPr>
      </w:pPr>
      <w:r>
        <w:t xml:space="preserve">Whether</w:t>
      </w:r>
      <w:r>
        <w:t xml:space="preserve"> </w:t>
      </w:r>
      <w:r>
        <w:rPr>
          <w:b/>
          <w:bCs/>
        </w:rPr>
        <w:t xml:space="preserve">iPhone demand remains broad-based</w:t>
      </w:r>
      <w:r>
        <w:t xml:space="preserve">, especially in China.</w:t>
      </w:r>
    </w:p>
    <w:p>
      <w:pPr>
        <w:pStyle w:val="Compact"/>
        <w:numPr>
          <w:ilvl w:val="0"/>
          <w:numId w:val="1002"/>
        </w:numPr>
      </w:pPr>
      <w:r>
        <w:t xml:space="preserve">Whether</w:t>
      </w:r>
      <w:r>
        <w:t xml:space="preserve"> </w:t>
      </w:r>
      <w:r>
        <w:rPr>
          <w:b/>
          <w:bCs/>
        </w:rPr>
        <w:t xml:space="preserve">Mac supply constraints</w:t>
      </w:r>
      <w:r>
        <w:t xml:space="preserve"> </w:t>
      </w:r>
      <w:r>
        <w:t xml:space="preserve">limited reported sales or signal sustained AI-PC demand.</w:t>
      </w:r>
    </w:p>
    <w:p>
      <w:pPr>
        <w:pStyle w:val="Compact"/>
        <w:numPr>
          <w:ilvl w:val="0"/>
          <w:numId w:val="1002"/>
        </w:numPr>
      </w:pPr>
      <w:r>
        <w:t xml:space="preserve">Whether the gross-margin outcome clears the</w:t>
      </w:r>
      <w:r>
        <w:t xml:space="preserve"> </w:t>
      </w:r>
      <w:r>
        <w:rPr>
          <w:b/>
          <w:bCs/>
        </w:rPr>
        <w:t xml:space="preserve">47.5%–48.5%</w:t>
      </w:r>
      <w:r>
        <w:t xml:space="preserve"> </w:t>
      </w:r>
      <w:r>
        <w:t xml:space="preserve">guided range.</w:t>
      </w:r>
    </w:p>
    <w:p>
      <w:pPr>
        <w:pStyle w:val="Compact"/>
        <w:numPr>
          <w:ilvl w:val="0"/>
          <w:numId w:val="1002"/>
        </w:numPr>
      </w:pPr>
      <w:r>
        <w:t xml:space="preserve">How severe the memory-cost impact becomes in the September quarter and beyond.</w:t>
      </w:r>
    </w:p>
    <w:p>
      <w:pPr>
        <w:pStyle w:val="Compact"/>
        <w:numPr>
          <w:ilvl w:val="0"/>
          <w:numId w:val="1002"/>
        </w:numPr>
      </w:pPr>
      <w:r>
        <w:t xml:space="preserve">Whether Apple can offer constructive commentary on AI, China, tariffs, and the September product cycle without overpromising.</w:t>
      </w:r>
    </w:p>
    <w:p>
      <w:pPr>
        <w:pStyle w:val="FirstParagraph"/>
      </w:pPr>
      <w:r>
        <w:t xml:space="preserve">Recent options pricing has implied only about a</w:t>
      </w:r>
      <w:r>
        <w:t xml:space="preserve"> </w:t>
      </w:r>
      <w:r>
        <w:rPr>
          <w:b/>
          <w:bCs/>
        </w:rPr>
        <w:t xml:space="preserve">3.8% post-earnings move</w:t>
      </w:r>
      <w:r>
        <w:t xml:space="preserve">, which suggests a modest near-term volatility expectation despite a high bar for the fundamental narrative.</w:t>
      </w:r>
    </w:p>
    <w:p>
      <w:r>
        <w:pict>
          <v:rect style="width:0;height:1.5pt" o:hralign="center" o:hrstd="t" o:hr="t"/>
        </w:pict>
      </w:r>
    </w:p>
    <w:bookmarkEnd w:id="10"/>
    <w:bookmarkStart w:id="11" w:name="what-apple-guided-for"/>
    <w:p>
      <w:pPr>
        <w:pStyle w:val="Heading2"/>
      </w:pPr>
      <w:r>
        <w:t xml:space="preserve">What Apple guided for</w:t>
      </w:r>
    </w:p>
    <w:p>
      <w:pPr>
        <w:pStyle w:val="FirstParagraph"/>
      </w:pPr>
      <w:r>
        <w:t xml:space="preserve">At its April 30 FY2026 Q2 earnings call, Apple guided: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Q3 outlook</w:t>
            </w:r>
          </w:p>
        </w:tc>
      </w:tr>
      <w:tr>
        <w:tc>
          <w:tcPr/>
          <w:p>
            <w:pPr>
              <w:pStyle w:val="Compact"/>
            </w:pPr>
            <w:r>
              <w:t xml:space="preserve">Total revenue growth</w:t>
            </w:r>
          </w:p>
        </w:tc>
        <w:tc>
          <w:tcPr/>
          <w:p>
            <w:pPr>
              <w:pStyle w:val="Compact"/>
              <w:jc w:val="right"/>
            </w:pPr>
            <w:r>
              <w:rPr>
                <w:b/>
                <w:bCs/>
              </w:rPr>
              <w:t xml:space="preserve">+14% to +17% YoY</w:t>
            </w:r>
          </w:p>
        </w:tc>
      </w:tr>
      <w:tr>
        <w:tc>
          <w:tcPr/>
          <w:p>
            <w:pPr>
              <w:pStyle w:val="Compact"/>
            </w:pPr>
            <w:r>
              <w:t xml:space="preserve">Implied revenue</w:t>
            </w:r>
          </w:p>
        </w:tc>
        <w:tc>
          <w:tcPr/>
          <w:p>
            <w:pPr>
              <w:pStyle w:val="Compact"/>
              <w:jc w:val="right"/>
            </w:pPr>
            <w:r>
              <w:rPr>
                <w:b/>
                <w:bCs/>
              </w:rPr>
              <w:t xml:space="preserve">~$107.2B to $110.0B</w:t>
            </w:r>
          </w:p>
        </w:tc>
      </w:tr>
      <w:tr>
        <w:tc>
          <w:tcPr/>
          <w:p>
            <w:pPr>
              <w:pStyle w:val="Compact"/>
            </w:pPr>
            <w:r>
              <w:t xml:space="preserve">Gross margin</w:t>
            </w:r>
          </w:p>
        </w:tc>
        <w:tc>
          <w:tcPr/>
          <w:p>
            <w:pPr>
              <w:pStyle w:val="Compact"/>
              <w:jc w:val="right"/>
            </w:pPr>
            <w:r>
              <w:rPr>
                <w:b/>
                <w:bCs/>
              </w:rPr>
              <w:t xml:space="preserve">47.5% to 48.5%</w:t>
            </w:r>
          </w:p>
        </w:tc>
      </w:tr>
      <w:tr>
        <w:tc>
          <w:tcPr/>
          <w:p>
            <w:pPr>
              <w:pStyle w:val="Compact"/>
            </w:pPr>
            <w:r>
              <w:t xml:space="preserve">Operating expenses</w:t>
            </w:r>
          </w:p>
        </w:tc>
        <w:tc>
          <w:tcPr/>
          <w:p>
            <w:pPr>
              <w:pStyle w:val="Compact"/>
              <w:jc w:val="right"/>
            </w:pPr>
            <w:r>
              <w:rPr>
                <w:b/>
                <w:bCs/>
              </w:rPr>
              <w:t xml:space="preserve">$18.8B to $19.1B</w:t>
            </w:r>
          </w:p>
        </w:tc>
      </w:tr>
      <w:tr>
        <w:tc>
          <w:tcPr/>
          <w:p>
            <w:pPr>
              <w:pStyle w:val="Compact"/>
            </w:pPr>
            <w:r>
              <w:t xml:space="preserve">Other income / expense</w:t>
            </w:r>
          </w:p>
        </w:tc>
        <w:tc>
          <w:tcPr/>
          <w:p>
            <w:pPr>
              <w:pStyle w:val="Compact"/>
              <w:jc w:val="right"/>
            </w:pPr>
            <w:r>
              <w:rPr>
                <w:b/>
                <w:bCs/>
              </w:rPr>
              <w:t xml:space="preserve">~$250M</w:t>
            </w:r>
          </w:p>
        </w:tc>
      </w:tr>
      <w:tr>
        <w:tc>
          <w:tcPr/>
          <w:p>
            <w:pPr>
              <w:pStyle w:val="Compact"/>
            </w:pPr>
            <w:r>
              <w:t xml:space="preserve">Tax rate</w:t>
            </w:r>
          </w:p>
        </w:tc>
        <w:tc>
          <w:tcPr/>
          <w:p>
            <w:pPr>
              <w:pStyle w:val="Compact"/>
              <w:jc w:val="right"/>
            </w:pPr>
            <w:r>
              <w:rPr>
                <w:b/>
                <w:bCs/>
              </w:rPr>
              <w:t xml:space="preserve">~17%</w:t>
            </w:r>
          </w:p>
        </w:tc>
      </w:tr>
      <w:tr>
        <w:tc>
          <w:tcPr/>
          <w:p>
            <w:pPr>
              <w:pStyle w:val="Compact"/>
            </w:pPr>
            <w:r>
              <w:t xml:space="preserve">Services growth</w:t>
            </w:r>
          </w:p>
        </w:tc>
        <w:tc>
          <w:tcPr/>
          <w:p>
            <w:pPr>
              <w:pStyle w:val="Compact"/>
              <w:jc w:val="right"/>
            </w:pPr>
            <w:r>
              <w:t xml:space="preserve">Similar to FY2026 Q2 underlying growth, excluding favorable FX effects</w:t>
            </w:r>
          </w:p>
        </w:tc>
      </w:tr>
    </w:tbl>
    <w:p>
      <w:pPr>
        <w:pStyle w:val="BodyText"/>
      </w:pPr>
      <w:r>
        <w:t xml:space="preserve">For context, FY2025 Q3 revenue was</w:t>
      </w:r>
      <w:r>
        <w:t xml:space="preserve"> </w:t>
      </w:r>
      <m:oMath>
        <m:r>
          <m:t>94.0</m:t>
        </m:r>
        <m:r>
          <m:t>b</m:t>
        </m:r>
        <m:r>
          <m:t>i</m:t>
        </m:r>
        <m:r>
          <m:t>l</m:t>
        </m:r>
        <m:r>
          <m:t>l</m:t>
        </m:r>
        <m:r>
          <m:t>i</m:t>
        </m:r>
        <m:r>
          <m:t>o</m:t>
        </m:r>
        <m:r>
          <m:t>n</m:t>
        </m:r>
        <m:r>
          <m:rPr>
            <m:sty m:val="p"/>
          </m:rPr>
          <m:t>*</m:t>
        </m:r>
        <m:r>
          <m:rPr>
            <m:sty m:val="p"/>
          </m:rPr>
          <m:t>*</m:t>
        </m:r>
        <m:r>
          <m:rPr>
            <m:sty m:val="p"/>
          </m:rPr>
          <m:t>,</m:t>
        </m:r>
        <m:r>
          <m:t>E</m:t>
        </m:r>
        <m:r>
          <m:t>P</m:t>
        </m:r>
        <m:r>
          <m:t>S</m:t>
        </m:r>
        <m:r>
          <m:t>w</m:t>
        </m:r>
        <m:r>
          <m:t>a</m:t>
        </m:r>
        <m:r>
          <m:t>s</m:t>
        </m:r>
        <m:r>
          <m:rPr>
            <m:sty m:val="p"/>
          </m:rPr>
          <m:t>*</m:t>
        </m:r>
        <m:r>
          <m:rPr>
            <m:sty m:val="p"/>
          </m:rPr>
          <m:t>*</m:t>
        </m:r>
      </m:oMath>
      <w:r>
        <w:rPr>
          <w:b/>
          <w:bCs/>
        </w:rPr>
        <w:t xml:space="preserve">1.57</w:t>
      </w:r>
      <w:r>
        <w:t xml:space="preserve">, and gross margin was</w:t>
      </w:r>
      <w:r>
        <w:t xml:space="preserve"> </w:t>
      </w:r>
      <w:r>
        <w:rPr>
          <w:b/>
          <w:bCs/>
        </w:rPr>
        <w:t xml:space="preserve">46.5%</w:t>
      </w:r>
      <w:r>
        <w:t xml:space="preserve">. The guide therefore embeds both a very strong top-line year-over-year acceleration and substantially higher profitability than a year ago.</w:t>
      </w:r>
    </w:p>
    <w:p>
      <w:r>
        <w:pict>
          <v:rect style="width:0;height:1.5pt" o:hralign="center" o:hrstd="t" o:hr="t"/>
        </w:pict>
      </w:r>
    </w:p>
    <w:bookmarkEnd w:id="11"/>
    <w:bookmarkStart w:id="12" w:name="the-core-earnings-debate"/>
    <w:p>
      <w:pPr>
        <w:pStyle w:val="Heading2"/>
      </w:pPr>
      <w:r>
        <w:t xml:space="preserve">The core earnings debate</w:t>
      </w:r>
    </w:p>
    <w:bookmarkEnd w:id="12"/>
    <w:bookmarkStart w:id="15" w:name="X3eaf1ff9241777ced81209516857392c92f3193"/>
    <w:p>
      <w:pPr>
        <w:pStyle w:val="Heading2"/>
      </w:pPr>
      <w:r>
        <w:t xml:space="preserve">1. iPhone: can exceptional momentum persist?</w:t>
      </w:r>
    </w:p>
    <w:p>
      <w:pPr>
        <w:pStyle w:val="FirstParagraph"/>
      </w:pPr>
      <w:r>
        <w:t xml:space="preserve">iPhone is the largest and most consequential swing factor. In the March quarter, iPhone revenue reached</w:t>
      </w:r>
      <w:r>
        <w:t xml:space="preserve"> </w:t>
      </w:r>
      <w:r>
        <w:rPr>
          <w:b/>
          <w:bCs/>
        </w:rPr>
        <w:t xml:space="preserve">$57.0 billion</w:t>
      </w:r>
      <w:r>
        <w:t xml:space="preserve">, up</w:t>
      </w:r>
      <w:r>
        <w:t xml:space="preserve"> </w:t>
      </w:r>
      <w:r>
        <w:rPr>
          <w:b/>
          <w:bCs/>
        </w:rPr>
        <w:t xml:space="preserve">22% year over year</w:t>
      </w:r>
      <w:r>
        <w:t xml:space="preserve">, with broad double-digit growth across the U.S., Greater China, Western Europe, India, Japan, Latin America, and Southeast Asia.</w:t>
      </w:r>
    </w:p>
    <w:p>
      <w:pPr>
        <w:pStyle w:val="BodyText"/>
      </w:pPr>
      <w:r>
        <w:t xml:space="preserve">Management cited the iPhone 17 lineup’s design, performance, cameras, durability, and Apple Intelligence integration as key demand drivers. It also reported record iPhone upgraders and an all-time-high iPhone installed base.</w:t>
      </w:r>
    </w:p>
    <w:bookmarkStart w:id="13" w:name="what-matters-on-thursday"/>
    <w:p>
      <w:pPr>
        <w:pStyle w:val="Heading3"/>
      </w:pPr>
      <w:r>
        <w:t xml:space="preserve">What matters on Thursday</w:t>
      </w:r>
    </w:p>
    <w:p>
      <w:pPr>
        <w:pStyle w:val="Compact"/>
        <w:numPr>
          <w:ilvl w:val="0"/>
          <w:numId w:val="1003"/>
        </w:numPr>
      </w:pPr>
      <w:r>
        <w:t xml:space="preserve">June-quarter iPhone growth relative to the FY2025 Q3 base of</w:t>
      </w:r>
      <w:r>
        <w:t xml:space="preserve"> </w:t>
      </w:r>
      <w:r>
        <w:rPr>
          <w:b/>
          <w:bCs/>
        </w:rPr>
        <w:t xml:space="preserve">$44.6 billion</w:t>
      </w:r>
      <w:r>
        <w:t xml:space="preserve">.</w:t>
      </w:r>
    </w:p>
    <w:p>
      <w:pPr>
        <w:pStyle w:val="Compact"/>
        <w:numPr>
          <w:ilvl w:val="0"/>
          <w:numId w:val="1003"/>
        </w:numPr>
      </w:pPr>
      <w:r>
        <w:t xml:space="preserve">Whether demand remained particularly strong in</w:t>
      </w:r>
      <w:r>
        <w:t xml:space="preserve"> </w:t>
      </w:r>
      <w:r>
        <w:rPr>
          <w:b/>
          <w:bCs/>
        </w:rPr>
        <w:t xml:space="preserve">China</w:t>
      </w:r>
      <w:r>
        <w:t xml:space="preserve">, the U.S., and India.</w:t>
      </w:r>
    </w:p>
    <w:p>
      <w:pPr>
        <w:pStyle w:val="Compact"/>
        <w:numPr>
          <w:ilvl w:val="0"/>
          <w:numId w:val="1003"/>
        </w:numPr>
      </w:pPr>
      <w:r>
        <w:t xml:space="preserve">Any evidence that the strength is driven by sustainable upgrades rather than promotions or channel inventory.</w:t>
      </w:r>
    </w:p>
    <w:p>
      <w:pPr>
        <w:pStyle w:val="Compact"/>
        <w:numPr>
          <w:ilvl w:val="0"/>
          <w:numId w:val="1003"/>
        </w:numPr>
      </w:pPr>
      <w:r>
        <w:t xml:space="preserve">Commentary on price elasticity as component costs rise and Apple introduces new financing/leasing options.</w:t>
      </w:r>
    </w:p>
    <w:p>
      <w:pPr>
        <w:pStyle w:val="Compact"/>
        <w:numPr>
          <w:ilvl w:val="0"/>
          <w:numId w:val="1003"/>
        </w:numPr>
      </w:pPr>
      <w:r>
        <w:t xml:space="preserve">The state of the September-quarter launch cadence and whether an AI-enabled product cycle can extend momentum.</w:t>
      </w:r>
    </w:p>
    <w:bookmarkEnd w:id="13"/>
    <w:bookmarkStart w:id="14" w:name="investor-read-through"/>
    <w:p>
      <w:pPr>
        <w:pStyle w:val="Heading3"/>
      </w:pPr>
      <w:r>
        <w:t xml:space="preserve">Investor read-through</w:t>
      </w:r>
    </w:p>
    <w:p>
      <w:pPr>
        <w:pStyle w:val="FirstParagraph"/>
      </w:pPr>
      <w:r>
        <w:t xml:space="preserve">A strong iPhone number coupled with constructive September commentary would reinforce the view that Apple is entering a multi-quarter upgrade cycle. Conversely, a revenue beat driven mostly by channel timing, currency, or one-off regional demand would be less convincing.</w:t>
      </w:r>
    </w:p>
    <w:p>
      <w:r>
        <w:pict>
          <v:rect style="width:0;height:1.5pt" o:hralign="center" o:hrstd="t" o:hr="t"/>
        </w:pict>
      </w:r>
    </w:p>
    <w:bookmarkEnd w:id="14"/>
    <w:bookmarkEnd w:id="15"/>
    <w:bookmarkStart w:id="17" w:name="X7ada413188f3dbe3c0795dd376a592201750db4"/>
    <w:p>
      <w:pPr>
        <w:pStyle w:val="Heading2"/>
      </w:pPr>
      <w:r>
        <w:t xml:space="preserve">2. China: the upside lever and key sentiment variable</w:t>
      </w:r>
    </w:p>
    <w:p>
      <w:pPr>
        <w:pStyle w:val="FirstParagraph"/>
      </w:pPr>
      <w:r>
        <w:t xml:space="preserve">Greater China has shifted from a concern to a potential catalyst. Apple delivered</w:t>
      </w:r>
      <w:r>
        <w:t xml:space="preserve"> </w:t>
      </w:r>
      <w:r>
        <w:rPr>
          <w:b/>
          <w:bCs/>
        </w:rPr>
        <w:t xml:space="preserve">28% year-over-year growth</w:t>
      </w:r>
      <w:r>
        <w:t xml:space="preserve"> </w:t>
      </w:r>
      <w:r>
        <w:t xml:space="preserve">in Greater China during FY2026 Q2 and said first-half revenue in the region grew</w:t>
      </w:r>
      <w:r>
        <w:t xml:space="preserve"> </w:t>
      </w:r>
      <w:r>
        <w:rPr>
          <w:b/>
          <w:bCs/>
        </w:rPr>
        <w:t xml:space="preserve">33%</w:t>
      </w:r>
      <w:r>
        <w:t xml:space="preserve">. iPhone was the major driver, while Mac performance was also strong.</w:t>
      </w:r>
    </w:p>
    <w:p>
      <w:pPr>
        <w:pStyle w:val="BodyText"/>
      </w:pPr>
      <w:r>
        <w:t xml:space="preserve">More recently, Apple Intelligence received approval in China through partnerships involving domestic AI providers. That approval may not materially affect the reported June-quarter results, but it strengthens the medium-term product proposition in a strategically important market.</w:t>
      </w:r>
    </w:p>
    <w:bookmarkStart w:id="16" w:name="key-questions"/>
    <w:p>
      <w:pPr>
        <w:pStyle w:val="Heading3"/>
      </w:pPr>
      <w:r>
        <w:t xml:space="preserve">Key questions</w:t>
      </w:r>
    </w:p>
    <w:p>
      <w:pPr>
        <w:pStyle w:val="Compact"/>
        <w:numPr>
          <w:ilvl w:val="0"/>
          <w:numId w:val="1004"/>
        </w:numPr>
      </w:pPr>
      <w:r>
        <w:t xml:space="preserve">Did Apple sustain double-digit China growth during the June quarter?</w:t>
      </w:r>
    </w:p>
    <w:p>
      <w:pPr>
        <w:pStyle w:val="Compact"/>
        <w:numPr>
          <w:ilvl w:val="0"/>
          <w:numId w:val="1004"/>
        </w:numPr>
      </w:pPr>
      <w:r>
        <w:t xml:space="preserve">Was growth driven by consumer demand, promotions, share gains, or all three?</w:t>
      </w:r>
    </w:p>
    <w:p>
      <w:pPr>
        <w:pStyle w:val="Compact"/>
        <w:numPr>
          <w:ilvl w:val="0"/>
          <w:numId w:val="1004"/>
        </w:numPr>
      </w:pPr>
      <w:r>
        <w:t xml:space="preserve">Does management see Apple Intelligence availability as a meaningful catalyst for China upgrades?</w:t>
      </w:r>
    </w:p>
    <w:p>
      <w:pPr>
        <w:pStyle w:val="Compact"/>
        <w:numPr>
          <w:ilvl w:val="0"/>
          <w:numId w:val="1004"/>
        </w:numPr>
      </w:pPr>
      <w:r>
        <w:t xml:space="preserve">How does Apple assess competition from domestic Android vendors, particularly in premium smartphones and AI features?</w:t>
      </w:r>
    </w:p>
    <w:p>
      <w:pPr>
        <w:pStyle w:val="FirstParagraph"/>
      </w:pPr>
      <w:r>
        <w:t xml:space="preserve">China upside is meaningful because it can simultaneously support</w:t>
      </w:r>
      <w:r>
        <w:t xml:space="preserve"> </w:t>
      </w:r>
      <w:r>
        <w:rPr>
          <w:b/>
          <w:bCs/>
        </w:rPr>
        <w:t xml:space="preserve">iPhone units, premium mix, Services engagement, and investor confidence in the durability of the installed base</w:t>
      </w:r>
      <w:r>
        <w:t xml:space="preserve">.</w:t>
      </w:r>
    </w:p>
    <w:p>
      <w:r>
        <w:pict>
          <v:rect style="width:0;height:1.5pt" o:hralign="center" o:hrstd="t" o:hr="t"/>
        </w:pict>
      </w:r>
    </w:p>
    <w:bookmarkEnd w:id="16"/>
    <w:bookmarkEnd w:id="17"/>
    <w:bookmarkStart w:id="19" w:name="X505677cb5c330ac8d1c50f22e12dedb490eceac"/>
    <w:p>
      <w:pPr>
        <w:pStyle w:val="Heading2"/>
      </w:pPr>
      <w:r>
        <w:t xml:space="preserve">3. Mac: demand is strong, but supply remains constrained</w:t>
      </w:r>
    </w:p>
    <w:p>
      <w:pPr>
        <w:pStyle w:val="FirstParagraph"/>
      </w:pPr>
      <w:r>
        <w:t xml:space="preserve">Mac is arguably the most underappreciated contributor to the current setup. FY2026 Q2 Mac revenue grew 6% to</w:t>
      </w:r>
      <w:r>
        <w:t xml:space="preserve"> </w:t>
      </w:r>
      <w:r>
        <w:rPr>
          <w:b/>
          <w:bCs/>
        </w:rPr>
        <w:t xml:space="preserve">$8.4 billion</w:t>
      </w:r>
      <w:r>
        <w:t xml:space="preserve"> </w:t>
      </w:r>
      <w:r>
        <w:t xml:space="preserve">despite supply limitations. Apple said demand was particularly strong for:</w:t>
      </w:r>
    </w:p>
    <w:p>
      <w:pPr>
        <w:pStyle w:val="Compact"/>
        <w:numPr>
          <w:ilvl w:val="0"/>
          <w:numId w:val="1005"/>
        </w:numPr>
      </w:pPr>
      <w:r>
        <w:rPr>
          <w:b/>
          <w:bCs/>
        </w:rPr>
        <w:t xml:space="preserve">Mac mini</w:t>
      </w:r>
    </w:p>
    <w:p>
      <w:pPr>
        <w:pStyle w:val="Compact"/>
        <w:numPr>
          <w:ilvl w:val="0"/>
          <w:numId w:val="1005"/>
        </w:numPr>
      </w:pPr>
      <w:r>
        <w:rPr>
          <w:b/>
          <w:bCs/>
        </w:rPr>
        <w:t xml:space="preserve">Mac Studio</w:t>
      </w:r>
    </w:p>
    <w:p>
      <w:pPr>
        <w:pStyle w:val="Compact"/>
        <w:numPr>
          <w:ilvl w:val="0"/>
          <w:numId w:val="1005"/>
        </w:numPr>
      </w:pPr>
      <w:r>
        <w:rPr>
          <w:b/>
          <w:bCs/>
        </w:rPr>
        <w:t xml:space="preserve">MacBook Neo</w:t>
      </w:r>
    </w:p>
    <w:p>
      <w:pPr>
        <w:pStyle w:val="FirstParagraph"/>
      </w:pPr>
      <w:r>
        <w:t xml:space="preserve">Management linked the demand to AI and agentic-workflow use cases, while noting that MacBook Neo was attracting new customers, education deployments, and value-oriented buyers.</w:t>
      </w:r>
    </w:p>
    <w:p>
      <w:pPr>
        <w:pStyle w:val="BodyText"/>
      </w:pPr>
      <w:r>
        <w:t xml:space="preserve">The issue is availability: Apple warned that Mac mini, Mac Studio, and MacBook Neo could remain supply constrained for several months.</w:t>
      </w:r>
    </w:p>
    <w:bookmarkStart w:id="18" w:name="what-matters"/>
    <w:p>
      <w:pPr>
        <w:pStyle w:val="Heading3"/>
      </w:pPr>
      <w:r>
        <w:t xml:space="preserve">What matters</w:t>
      </w:r>
    </w:p>
    <w:p>
      <w:pPr>
        <w:pStyle w:val="Compact"/>
        <w:numPr>
          <w:ilvl w:val="0"/>
          <w:numId w:val="1006"/>
        </w:numPr>
      </w:pPr>
      <w:r>
        <w:t xml:space="preserve">Did Mac sales beat expectations despite constrained supply?</w:t>
      </w:r>
    </w:p>
    <w:p>
      <w:pPr>
        <w:pStyle w:val="Compact"/>
        <w:numPr>
          <w:ilvl w:val="0"/>
          <w:numId w:val="1006"/>
        </w:numPr>
      </w:pPr>
      <w:r>
        <w:t xml:space="preserve">Did supply improve by quarter-end, or did it cap revenue?</w:t>
      </w:r>
    </w:p>
    <w:p>
      <w:pPr>
        <w:pStyle w:val="Compact"/>
        <w:numPr>
          <w:ilvl w:val="0"/>
          <w:numId w:val="1006"/>
        </w:numPr>
      </w:pPr>
      <w:r>
        <w:t xml:space="preserve">Is demand truly broad—consumer, enterprise, education, and developers—or concentrated in a limited set of AI use cases?</w:t>
      </w:r>
    </w:p>
    <w:p>
      <w:pPr>
        <w:pStyle w:val="Compact"/>
        <w:numPr>
          <w:ilvl w:val="0"/>
          <w:numId w:val="1006"/>
        </w:numPr>
      </w:pPr>
      <w:r>
        <w:t xml:space="preserve">Does Apple provide a clearer time frame for supply/demand balance?</w:t>
      </w:r>
    </w:p>
    <w:p>
      <w:pPr>
        <w:pStyle w:val="FirstParagraph"/>
      </w:pPr>
      <w:r>
        <w:t xml:space="preserve">Strong Mac demand is strategically valuable because it diversifies growth beyond iPhone and supports the argument that Apple Silicon is a beneficiary of edge-AI adoption.</w:t>
      </w:r>
    </w:p>
    <w:p>
      <w:r>
        <w:pict>
          <v:rect style="width:0;height:1.5pt" o:hralign="center" o:hrstd="t" o:hr="t"/>
        </w:pict>
      </w:r>
    </w:p>
    <w:bookmarkEnd w:id="18"/>
    <w:bookmarkEnd w:id="19"/>
    <w:bookmarkStart w:id="21" w:name="X83697a30d46989ba5eb425fe8a2fcbc291618d0"/>
    <w:p>
      <w:pPr>
        <w:pStyle w:val="Heading2"/>
      </w:pPr>
      <w:r>
        <w:t xml:space="preserve">4. Services: the highest-quality component of the print</w:t>
      </w:r>
    </w:p>
    <w:p>
      <w:pPr>
        <w:pStyle w:val="FirstParagraph"/>
      </w:pPr>
      <w:r>
        <w:t xml:space="preserve">Services reached a record</w:t>
      </w:r>
      <w:r>
        <w:t xml:space="preserve"> </w:t>
      </w:r>
      <w:r>
        <w:rPr>
          <w:b/>
          <w:bCs/>
        </w:rPr>
        <w:t xml:space="preserve">$31.0 billion</w:t>
      </w:r>
      <w:r>
        <w:t xml:space="preserve"> </w:t>
      </w:r>
      <w:r>
        <w:t xml:space="preserve">in FY2026 Q2, up</w:t>
      </w:r>
      <w:r>
        <w:t xml:space="preserve"> </w:t>
      </w:r>
      <w:r>
        <w:rPr>
          <w:b/>
          <w:bCs/>
        </w:rPr>
        <w:t xml:space="preserve">16% year over year</w:t>
      </w:r>
      <w:r>
        <w:t xml:space="preserve">, with records across most categories. The installed base exceeded</w:t>
      </w:r>
      <w:r>
        <w:t xml:space="preserve"> </w:t>
      </w:r>
      <w:r>
        <w:rPr>
          <w:b/>
          <w:bCs/>
        </w:rPr>
        <w:t xml:space="preserve">2.5 billion active devices</w:t>
      </w:r>
      <w:r>
        <w:t xml:space="preserve">, while paid and transacting accounts also reached records.</w:t>
      </w:r>
    </w:p>
    <w:p>
      <w:pPr>
        <w:pStyle w:val="BodyText"/>
      </w:pPr>
      <w:r>
        <w:t xml:space="preserve">Investors should look for continued broad-based growth across:</w:t>
      </w:r>
    </w:p>
    <w:p>
      <w:pPr>
        <w:pStyle w:val="Compact"/>
        <w:numPr>
          <w:ilvl w:val="0"/>
          <w:numId w:val="1007"/>
        </w:numPr>
      </w:pPr>
      <w:r>
        <w:t xml:space="preserve">App Store and advertising</w:t>
      </w:r>
    </w:p>
    <w:p>
      <w:pPr>
        <w:pStyle w:val="Compact"/>
        <w:numPr>
          <w:ilvl w:val="0"/>
          <w:numId w:val="1007"/>
        </w:numPr>
      </w:pPr>
      <w:r>
        <w:t xml:space="preserve">iCloud and cloud services</w:t>
      </w:r>
    </w:p>
    <w:p>
      <w:pPr>
        <w:pStyle w:val="Compact"/>
        <w:numPr>
          <w:ilvl w:val="0"/>
          <w:numId w:val="1007"/>
        </w:numPr>
      </w:pPr>
      <w:r>
        <w:t xml:space="preserve">Payments and Wallet</w:t>
      </w:r>
    </w:p>
    <w:p>
      <w:pPr>
        <w:pStyle w:val="Compact"/>
        <w:numPr>
          <w:ilvl w:val="0"/>
          <w:numId w:val="1007"/>
        </w:numPr>
      </w:pPr>
      <w:r>
        <w:t xml:space="preserve">Apple Music, TV, and other subscriptions</w:t>
      </w:r>
    </w:p>
    <w:p>
      <w:pPr>
        <w:pStyle w:val="Compact"/>
        <w:numPr>
          <w:ilvl w:val="0"/>
          <w:numId w:val="1007"/>
        </w:numPr>
      </w:pPr>
      <w:r>
        <w:t xml:space="preserve">Enterprise offerings</w:t>
      </w:r>
    </w:p>
    <w:p>
      <w:pPr>
        <w:pStyle w:val="Compact"/>
        <w:numPr>
          <w:ilvl w:val="0"/>
          <w:numId w:val="1007"/>
        </w:numPr>
      </w:pPr>
      <w:r>
        <w:t xml:space="preserve">Maps advertising, which began rolling out this summer</w:t>
      </w:r>
    </w:p>
    <w:p>
      <w:pPr>
        <w:pStyle w:val="FirstParagraph"/>
      </w:pPr>
      <w:r>
        <w:t xml:space="preserve">The primary question is not simply whether Services grows double digits. It is whether the growth remains sufficiently broad and profitable to offset rising component costs in hardware.</w:t>
      </w:r>
    </w:p>
    <w:bookmarkStart w:id="20" w:name="watch-items"/>
    <w:p>
      <w:pPr>
        <w:pStyle w:val="Heading3"/>
      </w:pPr>
      <w:r>
        <w:t xml:space="preserve">Watch items</w:t>
      </w:r>
    </w:p>
    <w:p>
      <w:pPr>
        <w:pStyle w:val="Compact"/>
        <w:numPr>
          <w:ilvl w:val="0"/>
          <w:numId w:val="1008"/>
        </w:numPr>
      </w:pPr>
      <w:r>
        <w:t xml:space="preserve">Services growth rate versus the implied low-to-mid-teens underlying guide.</w:t>
      </w:r>
    </w:p>
    <w:p>
      <w:pPr>
        <w:pStyle w:val="Compact"/>
        <w:numPr>
          <w:ilvl w:val="0"/>
          <w:numId w:val="1008"/>
        </w:numPr>
      </w:pPr>
      <w:r>
        <w:t xml:space="preserve">Services gross-margin trajectory.</w:t>
      </w:r>
    </w:p>
    <w:p>
      <w:pPr>
        <w:pStyle w:val="Compact"/>
        <w:numPr>
          <w:ilvl w:val="0"/>
          <w:numId w:val="1008"/>
        </w:numPr>
      </w:pPr>
      <w:r>
        <w:t xml:space="preserve">Any commentary on App Store economics, advertising, Maps monetization, or regulatory effects.</w:t>
      </w:r>
    </w:p>
    <w:p>
      <w:pPr>
        <w:pStyle w:val="Compact"/>
        <w:numPr>
          <w:ilvl w:val="0"/>
          <w:numId w:val="1008"/>
        </w:numPr>
      </w:pPr>
      <w:r>
        <w:t xml:space="preserve">Paid-account and subscription trends.</w:t>
      </w:r>
    </w:p>
    <w:p>
      <w:pPr>
        <w:pStyle w:val="Compact"/>
        <w:numPr>
          <w:ilvl w:val="0"/>
          <w:numId w:val="1008"/>
        </w:numPr>
      </w:pPr>
      <w:r>
        <w:t xml:space="preserve">Incremental AI monetization strategy, if any.</w:t>
      </w:r>
    </w:p>
    <w:p>
      <w:r>
        <w:pict>
          <v:rect style="width:0;height:1.5pt" o:hralign="center" o:hrstd="t" o:hr="t"/>
        </w:pict>
      </w:r>
    </w:p>
    <w:bookmarkEnd w:id="20"/>
    <w:bookmarkEnd w:id="21"/>
    <w:bookmarkStart w:id="23" w:name="X9ba0c121a6d03ac908ffcebefdf9bf2156c17e5"/>
    <w:p>
      <w:pPr>
        <w:pStyle w:val="Heading2"/>
      </w:pPr>
      <w:r>
        <w:t xml:space="preserve">5. Gross margin: memory costs are the biggest near-term risk</w:t>
      </w:r>
    </w:p>
    <w:p>
      <w:pPr>
        <w:pStyle w:val="FirstParagraph"/>
      </w:pPr>
      <w:r>
        <w:t xml:space="preserve">Apple guided FY2026 Q3 gross margin to</w:t>
      </w:r>
      <w:r>
        <w:t xml:space="preserve"> </w:t>
      </w:r>
      <w:r>
        <w:rPr>
          <w:b/>
          <w:bCs/>
        </w:rPr>
        <w:t xml:space="preserve">47.5%–48.5%</w:t>
      </w:r>
      <w:r>
        <w:t xml:space="preserve">, below the</w:t>
      </w:r>
      <w:r>
        <w:t xml:space="preserve"> </w:t>
      </w:r>
      <w:r>
        <w:rPr>
          <w:b/>
          <w:bCs/>
        </w:rPr>
        <w:t xml:space="preserve">49.3%</w:t>
      </w:r>
      <w:r>
        <w:t xml:space="preserve"> </w:t>
      </w:r>
      <w:r>
        <w:t xml:space="preserve">delivered in FY2026 Q2. The expected sequential pressure reflects a combination of seasonal product leverage and sharply higher memory costs.</w:t>
      </w:r>
    </w:p>
    <w:p>
      <w:pPr>
        <w:pStyle w:val="BodyText"/>
      </w:pPr>
      <w:r>
        <w:t xml:space="preserve">Management’s message has been clear:</w:t>
      </w:r>
    </w:p>
    <w:p>
      <w:pPr>
        <w:pStyle w:val="Compact"/>
        <w:numPr>
          <w:ilvl w:val="0"/>
          <w:numId w:val="1009"/>
        </w:numPr>
      </w:pPr>
      <w:r>
        <w:t xml:space="preserve">Memory costs were higher in the March quarter.</w:t>
      </w:r>
    </w:p>
    <w:p>
      <w:pPr>
        <w:pStyle w:val="Compact"/>
        <w:numPr>
          <w:ilvl w:val="0"/>
          <w:numId w:val="1009"/>
        </w:numPr>
      </w:pPr>
      <w:r>
        <w:t xml:space="preserve">The June-quarter impact would be</w:t>
      </w:r>
      <w:r>
        <w:t xml:space="preserve"> </w:t>
      </w:r>
      <w:r>
        <w:rPr>
          <w:b/>
          <w:bCs/>
        </w:rPr>
        <w:t xml:space="preserve">significantly higher</w:t>
      </w:r>
      <w:r>
        <w:t xml:space="preserve">, partially offset by carry-in inventory.</w:t>
      </w:r>
    </w:p>
    <w:p>
      <w:pPr>
        <w:pStyle w:val="Compact"/>
        <w:numPr>
          <w:ilvl w:val="0"/>
          <w:numId w:val="1009"/>
        </w:numPr>
      </w:pPr>
      <w:r>
        <w:t xml:space="preserve">Beyond June, memory costs are expected to exert an</w:t>
      </w:r>
      <w:r>
        <w:t xml:space="preserve"> </w:t>
      </w:r>
      <w:r>
        <w:rPr>
          <w:b/>
          <w:bCs/>
        </w:rPr>
        <w:t xml:space="preserve">increasing impact</w:t>
      </w:r>
      <w:r>
        <w:t xml:space="preserve"> </w:t>
      </w:r>
      <w:r>
        <w:t xml:space="preserve">on the business.</w:t>
      </w:r>
    </w:p>
    <w:p>
      <w:pPr>
        <w:pStyle w:val="FirstParagraph"/>
      </w:pPr>
      <w:r>
        <w:t xml:space="preserve">Apple has responded with price increases across selected Macs, iPads, HomePods, Apple TV products, and other offerings. It has also introduced the Klarna-backed</w:t>
      </w:r>
      <w:r>
        <w:t xml:space="preserve"> </w:t>
      </w:r>
      <w:r>
        <w:rPr>
          <w:b/>
          <w:bCs/>
        </w:rPr>
        <w:t xml:space="preserve">Apple Upgrade</w:t>
      </w:r>
      <w:r>
        <w:t xml:space="preserve"> </w:t>
      </w:r>
      <w:r>
        <w:t xml:space="preserve">leasing program, which could help preserve affordability and upgrade activity as device prices rise.</w:t>
      </w:r>
    </w:p>
    <w:bookmarkStart w:id="22" w:name="Xc101d2424e43eb16138a8e0fd34bd14ccae84bb"/>
    <w:p>
      <w:pPr>
        <w:pStyle w:val="Heading3"/>
      </w:pPr>
      <w:r>
        <w:t xml:space="preserve">Why this is the pivotal forward-looking issue</w:t>
      </w:r>
    </w:p>
    <w:p>
      <w:pPr>
        <w:pStyle w:val="FirstParagraph"/>
      </w:pPr>
      <w:r>
        <w:t xml:space="preserve">The June-quarter margin result matters, but the bigger determinant of the stock reaction may be Apple’s commentary on</w:t>
      </w:r>
      <w:r>
        <w:t xml:space="preserve"> </w:t>
      </w:r>
      <w:r>
        <w:rPr>
          <w:b/>
          <w:bCs/>
        </w:rPr>
        <w:t xml:space="preserve">September-quarter gross margin</w:t>
      </w:r>
      <w:r>
        <w:t xml:space="preserve">. Investors will assess whether the company can protect earnings through:</w:t>
      </w:r>
    </w:p>
    <w:p>
      <w:pPr>
        <w:pStyle w:val="Compact"/>
        <w:numPr>
          <w:ilvl w:val="0"/>
          <w:numId w:val="1010"/>
        </w:numPr>
      </w:pPr>
      <w:r>
        <w:t xml:space="preserve">Product pricing</w:t>
      </w:r>
    </w:p>
    <w:p>
      <w:pPr>
        <w:pStyle w:val="Compact"/>
        <w:numPr>
          <w:ilvl w:val="0"/>
          <w:numId w:val="1010"/>
        </w:numPr>
      </w:pPr>
      <w:r>
        <w:t xml:space="preserve">Premium mix</w:t>
      </w:r>
    </w:p>
    <w:p>
      <w:pPr>
        <w:pStyle w:val="Compact"/>
        <w:numPr>
          <w:ilvl w:val="0"/>
          <w:numId w:val="1010"/>
        </w:numPr>
      </w:pPr>
      <w:r>
        <w:t xml:space="preserve">Services growth</w:t>
      </w:r>
    </w:p>
    <w:p>
      <w:pPr>
        <w:pStyle w:val="Compact"/>
        <w:numPr>
          <w:ilvl w:val="0"/>
          <w:numId w:val="1010"/>
        </w:numPr>
      </w:pPr>
      <w:r>
        <w:t xml:space="preserve">Supply-chain optimization</w:t>
      </w:r>
    </w:p>
    <w:p>
      <w:pPr>
        <w:pStyle w:val="Compact"/>
        <w:numPr>
          <w:ilvl w:val="0"/>
          <w:numId w:val="1010"/>
        </w:numPr>
      </w:pPr>
      <w:r>
        <w:t xml:space="preserve">Alternative memory sourcing</w:t>
      </w:r>
    </w:p>
    <w:p>
      <w:pPr>
        <w:pStyle w:val="Compact"/>
        <w:numPr>
          <w:ilvl w:val="0"/>
          <w:numId w:val="1010"/>
        </w:numPr>
      </w:pPr>
      <w:r>
        <w:t xml:space="preserve">Lower tariff exposure or supply-chain reconfiguration</w:t>
      </w:r>
    </w:p>
    <w:p>
      <w:pPr>
        <w:pStyle w:val="FirstParagraph"/>
      </w:pPr>
      <w:r>
        <w:t xml:space="preserve">A guide that suggests margin stability despite higher memory costs would be a major positive. A more pronounced margin reset could overshadow a June-quarter beat.</w:t>
      </w:r>
    </w:p>
    <w:p>
      <w:r>
        <w:pict>
          <v:rect style="width:0;height:1.5pt" o:hralign="center" o:hrstd="t" o:hr="t"/>
        </w:pict>
      </w:r>
    </w:p>
    <w:bookmarkEnd w:id="22"/>
    <w:bookmarkEnd w:id="23"/>
    <w:bookmarkStart w:id="24" w:name="Xae36fc7926d92af18fd3c085a971b646e1dbe2e"/>
    <w:p>
      <w:pPr>
        <w:pStyle w:val="Heading2"/>
      </w:pPr>
      <w:r>
        <w:t xml:space="preserve">6. AI: strategically important, but investors want execution—not just positioning</w:t>
      </w:r>
    </w:p>
    <w:p>
      <w:pPr>
        <w:pStyle w:val="FirstParagraph"/>
      </w:pPr>
      <w:r>
        <w:t xml:space="preserve">Apple’s current AI narrative is becoming more credible:</w:t>
      </w:r>
    </w:p>
    <w:p>
      <w:pPr>
        <w:pStyle w:val="Compact"/>
        <w:numPr>
          <w:ilvl w:val="0"/>
          <w:numId w:val="1011"/>
        </w:numPr>
      </w:pPr>
      <w:r>
        <w:t xml:space="preserve">Apple Intelligence is expanding across the ecosystem.</w:t>
      </w:r>
    </w:p>
    <w:p>
      <w:pPr>
        <w:pStyle w:val="Compact"/>
        <w:numPr>
          <w:ilvl w:val="0"/>
          <w:numId w:val="1011"/>
        </w:numPr>
      </w:pPr>
      <w:r>
        <w:t xml:space="preserve">Apple has partnered with Google while continuing internal model development.</w:t>
      </w:r>
    </w:p>
    <w:p>
      <w:pPr>
        <w:pStyle w:val="Compact"/>
        <w:numPr>
          <w:ilvl w:val="0"/>
          <w:numId w:val="1011"/>
        </w:numPr>
      </w:pPr>
      <w:r>
        <w:t xml:space="preserve">Apple Intelligence has received China approval through local partnerships.</w:t>
      </w:r>
    </w:p>
    <w:p>
      <w:pPr>
        <w:pStyle w:val="Compact"/>
        <w:numPr>
          <w:ilvl w:val="0"/>
          <w:numId w:val="1011"/>
        </w:numPr>
      </w:pPr>
      <w:r>
        <w:t xml:space="preserve">Management has materially increased R&amp;D investment.</w:t>
      </w:r>
    </w:p>
    <w:p>
      <w:pPr>
        <w:pStyle w:val="Compact"/>
        <w:numPr>
          <w:ilvl w:val="0"/>
          <w:numId w:val="1011"/>
        </w:numPr>
      </w:pPr>
      <w:r>
        <w:t xml:space="preserve">Apple is reportedly exploring AI-chip acquisitions and technology that can make advanced models run more efficiently on-device.</w:t>
      </w:r>
    </w:p>
    <w:p>
      <w:pPr>
        <w:pStyle w:val="FirstParagraph"/>
      </w:pPr>
      <w:r>
        <w:t xml:space="preserve">However, Apple’s investment case does not rely on becoming a hyperscale AI-infrastructure company. Its differentiated pitch is to monetize AI through</w:t>
      </w:r>
      <w:r>
        <w:t xml:space="preserve"> </w:t>
      </w:r>
      <w:r>
        <w:rPr>
          <w:b/>
          <w:bCs/>
        </w:rPr>
        <w:t xml:space="preserve">hardware upgrades, ecosystem engagement, privacy, on-device processing, and Services</w:t>
      </w:r>
      <w:r>
        <w:t xml:space="preserve">, while avoiding the capital-intensity facing many peers.</w:t>
      </w:r>
    </w:p>
    <w:p>
      <w:pPr>
        <w:pStyle w:val="BodyText"/>
      </w:pPr>
      <w:r>
        <w:t xml:space="preserve">The earnings call should clarify whether AI is already helping demand, particularly for iPhone and Mac, versus remaining primarily a future-cycle catalyst.</w:t>
      </w:r>
    </w:p>
    <w:p>
      <w:r>
        <w:pict>
          <v:rect style="width:0;height:1.5pt" o:hralign="center" o:hrstd="t" o:hr="t"/>
        </w:pict>
      </w:r>
    </w:p>
    <w:bookmarkEnd w:id="24"/>
    <w:bookmarkStart w:id="25" w:name="X4fbddc6ef8aa139778c9b26435195dab9138115"/>
    <w:p>
      <w:pPr>
        <w:pStyle w:val="Heading2"/>
      </w:pPr>
      <w:r>
        <w:t xml:space="preserve">7. Leadership transition will be closely watched</w:t>
      </w:r>
    </w:p>
    <w:p>
      <w:pPr>
        <w:pStyle w:val="FirstParagraph"/>
      </w:pPr>
      <w:r>
        <w:t xml:space="preserve">This is Tim Cook’s final earnings call as CEO before John Ternus takes over on</w:t>
      </w:r>
      <w:r>
        <w:t xml:space="preserve"> </w:t>
      </w:r>
      <w:r>
        <w:rPr>
          <w:b/>
          <w:bCs/>
        </w:rPr>
        <w:t xml:space="preserve">September 1, 2026</w:t>
      </w:r>
      <w:r>
        <w:t xml:space="preserve">, with Cook becoming Executive Chairman.</w:t>
      </w:r>
    </w:p>
    <w:p>
      <w:pPr>
        <w:pStyle w:val="BodyText"/>
      </w:pPr>
      <w:r>
        <w:t xml:space="preserve">Operationally, investors are unlikely to expect a strategy change: Ternus has emphasized continuity in capital allocation and financial discipline. Still, the call is a rare opportunity to gauge:</w:t>
      </w:r>
    </w:p>
    <w:p>
      <w:pPr>
        <w:pStyle w:val="Compact"/>
        <w:numPr>
          <w:ilvl w:val="0"/>
          <w:numId w:val="1012"/>
        </w:numPr>
      </w:pPr>
      <w:r>
        <w:t xml:space="preserve">The tone and division of responsibilities between Cook, Ternus, and CFO Kevan Parekh.</w:t>
      </w:r>
    </w:p>
    <w:p>
      <w:pPr>
        <w:pStyle w:val="Compact"/>
        <w:numPr>
          <w:ilvl w:val="0"/>
          <w:numId w:val="1012"/>
        </w:numPr>
      </w:pPr>
      <w:r>
        <w:t xml:space="preserve">Whether the new CEO signals a faster product cadence, more willingness to pursue M&amp;A, or a more aggressive AI investment posture.</w:t>
      </w:r>
    </w:p>
    <w:p>
      <w:pPr>
        <w:pStyle w:val="Compact"/>
        <w:numPr>
          <w:ilvl w:val="0"/>
          <w:numId w:val="1012"/>
        </w:numPr>
      </w:pPr>
      <w:r>
        <w:t xml:space="preserve">The durability of Apple’s culture of product focus, supply-chain discipline, and shareholder returns.</w:t>
      </w:r>
    </w:p>
    <w:p>
      <w:pPr>
        <w:pStyle w:val="FirstParagraph"/>
      </w:pPr>
      <w:r>
        <w:t xml:space="preserve">The transition is not expected to affect the June-quarter numbers, but it can influence the multiple investors assign to Apple’s future growth.</w:t>
      </w:r>
    </w:p>
    <w:p>
      <w:r>
        <w:pict>
          <v:rect style="width:0;height:1.5pt" o:hralign="center" o:hrstd="t" o:hr="t"/>
        </w:pict>
      </w:r>
    </w:p>
    <w:bookmarkEnd w:id="25"/>
    <w:bookmarkStart w:id="26" w:name="X7d07b939f45c1f0a2e0ae3ee81c03024fb93513"/>
    <w:p>
      <w:pPr>
        <w:pStyle w:val="Heading2"/>
      </w:pPr>
      <w:r>
        <w:t xml:space="preserve">Earnings scorecard: what would be bullish, neutral, or bearish?</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Area</w:t>
            </w:r>
          </w:p>
        </w:tc>
        <w:tc>
          <w:tcPr/>
          <w:p>
            <w:pPr>
              <w:pStyle w:val="Compact"/>
            </w:pPr>
            <w:r>
              <w:t xml:space="preserve">Bullish outcome</w:t>
            </w:r>
          </w:p>
        </w:tc>
        <w:tc>
          <w:tcPr/>
          <w:p>
            <w:pPr>
              <w:pStyle w:val="Compact"/>
            </w:pPr>
            <w:r>
              <w:t xml:space="preserve">Neutral outcome</w:t>
            </w:r>
          </w:p>
        </w:tc>
        <w:tc>
          <w:tcPr/>
          <w:p>
            <w:pPr>
              <w:pStyle w:val="Compact"/>
            </w:pPr>
            <w:r>
              <w:t xml:space="preserve">Bearish outcome</w:t>
            </w:r>
          </w:p>
        </w:tc>
      </w:tr>
      <w:tr>
        <w:tc>
          <w:tcPr/>
          <w:p>
            <w:pPr>
              <w:pStyle w:val="Compact"/>
            </w:pPr>
            <w:r>
              <w:t xml:space="preserve">Revenue</w:t>
            </w:r>
          </w:p>
        </w:tc>
        <w:tc>
          <w:tcPr/>
          <w:p>
            <w:pPr>
              <w:pStyle w:val="Compact"/>
            </w:pPr>
            <w:r>
              <w:t xml:space="preserve">Above the high end of the</w:t>
            </w:r>
            <w:r>
              <w:t xml:space="preserve"> </w:t>
            </w:r>
            <m:oMath>
              <m:r>
                <m:t>107</m:t>
              </m:r>
              <m:r>
                <m:t>B</m:t>
              </m:r>
              <m:r>
                <m:rPr>
                  <m:sty m:val="p"/>
                </m:rPr>
                <m:t>–</m:t>
              </m:r>
            </m:oMath>
            <w:r>
              <w:t xml:space="preserve">110B implied range</w:t>
            </w:r>
          </w:p>
        </w:tc>
        <w:tc>
          <w:tcPr/>
          <w:p>
            <w:pPr>
              <w:pStyle w:val="Compact"/>
            </w:pPr>
            <w:r>
              <w:t xml:space="preserve">In or modestly above guidance</w:t>
            </w:r>
          </w:p>
        </w:tc>
        <w:tc>
          <w:tcPr/>
          <w:p>
            <w:pPr>
              <w:pStyle w:val="Compact"/>
            </w:pPr>
            <w:r>
              <w:t xml:space="preserve">Near/below low end of guide</w:t>
            </w:r>
          </w:p>
        </w:tc>
      </w:tr>
      <w:tr>
        <w:tc>
          <w:tcPr/>
          <w:p>
            <w:pPr>
              <w:pStyle w:val="Compact"/>
            </w:pPr>
            <w:r>
              <w:t xml:space="preserve">iPhone</w:t>
            </w:r>
          </w:p>
        </w:tc>
        <w:tc>
          <w:tcPr/>
          <w:p>
            <w:pPr>
              <w:pStyle w:val="Compact"/>
            </w:pPr>
            <w:r>
              <w:t xml:space="preserve">Broad double-digit growth; strong China and upgrade trends</w:t>
            </w:r>
          </w:p>
        </w:tc>
        <w:tc>
          <w:tcPr/>
          <w:p>
            <w:pPr>
              <w:pStyle w:val="Compact"/>
            </w:pPr>
            <w:r>
              <w:t xml:space="preserve">Solid growth, but expected seasonal moderation</w:t>
            </w:r>
          </w:p>
        </w:tc>
        <w:tc>
          <w:tcPr/>
          <w:p>
            <w:pPr>
              <w:pStyle w:val="Compact"/>
            </w:pPr>
            <w:r>
              <w:t xml:space="preserve">Demand softness, weak China, or channel concerns</w:t>
            </w:r>
          </w:p>
        </w:tc>
      </w:tr>
      <w:tr>
        <w:tc>
          <w:tcPr/>
          <w:p>
            <w:pPr>
              <w:pStyle w:val="Compact"/>
            </w:pPr>
            <w:r>
              <w:t xml:space="preserve">Mac</w:t>
            </w:r>
          </w:p>
        </w:tc>
        <w:tc>
          <w:tcPr/>
          <w:p>
            <w:pPr>
              <w:pStyle w:val="Compact"/>
            </w:pPr>
            <w:r>
              <w:t xml:space="preserve">Supply-constrained demand validates AI-PC thesis</w:t>
            </w:r>
          </w:p>
        </w:tc>
        <w:tc>
          <w:tcPr/>
          <w:p>
            <w:pPr>
              <w:pStyle w:val="Compact"/>
            </w:pPr>
            <w:r>
              <w:t xml:space="preserve">Growth held back by supply but demand remains intact</w:t>
            </w:r>
          </w:p>
        </w:tc>
        <w:tc>
          <w:tcPr/>
          <w:p>
            <w:pPr>
              <w:pStyle w:val="Compact"/>
            </w:pPr>
            <w:r>
              <w:t xml:space="preserve">Demand or supply commentary weakens materially</w:t>
            </w:r>
          </w:p>
        </w:tc>
      </w:tr>
      <w:tr>
        <w:tc>
          <w:tcPr/>
          <w:p>
            <w:pPr>
              <w:pStyle w:val="Compact"/>
            </w:pPr>
            <w:r>
              <w:t xml:space="preserve">Services</w:t>
            </w:r>
          </w:p>
        </w:tc>
        <w:tc>
          <w:tcPr/>
          <w:p>
            <w:pPr>
              <w:pStyle w:val="Compact"/>
            </w:pPr>
            <w:r>
              <w:t xml:space="preserve">Mid-teens-plus growth with healthy margins</w:t>
            </w:r>
          </w:p>
        </w:tc>
        <w:tc>
          <w:tcPr/>
          <w:p>
            <w:pPr>
              <w:pStyle w:val="Compact"/>
            </w:pPr>
            <w:r>
              <w:t xml:space="preserve">Low-teens growth</w:t>
            </w:r>
          </w:p>
        </w:tc>
        <w:tc>
          <w:tcPr/>
          <w:p>
            <w:pPr>
              <w:pStyle w:val="Compact"/>
            </w:pPr>
            <w:r>
              <w:t xml:space="preserve">Material deceleration or regulatory pressure</w:t>
            </w:r>
          </w:p>
        </w:tc>
      </w:tr>
      <w:tr>
        <w:tc>
          <w:tcPr/>
          <w:p>
            <w:pPr>
              <w:pStyle w:val="Compact"/>
            </w:pPr>
            <w:r>
              <w:t xml:space="preserve">Gross margin</w:t>
            </w:r>
          </w:p>
        </w:tc>
        <w:tc>
          <w:tcPr/>
          <w:p>
            <w:pPr>
              <w:pStyle w:val="Compact"/>
            </w:pPr>
            <w:r>
              <w:t xml:space="preserve">Above 48.5% or reassuring September outlook</w:t>
            </w:r>
          </w:p>
        </w:tc>
        <w:tc>
          <w:tcPr/>
          <w:p>
            <w:pPr>
              <w:pStyle w:val="Compact"/>
            </w:pPr>
            <w:r>
              <w:t xml:space="preserve">In range with contained memory commentary</w:t>
            </w:r>
          </w:p>
        </w:tc>
        <w:tc>
          <w:tcPr/>
          <w:p>
            <w:pPr>
              <w:pStyle w:val="Compact"/>
            </w:pPr>
            <w:r>
              <w:t xml:space="preserve">Below range or sharp September margin pressure</w:t>
            </w:r>
          </w:p>
        </w:tc>
      </w:tr>
      <w:tr>
        <w:tc>
          <w:tcPr/>
          <w:p>
            <w:pPr>
              <w:pStyle w:val="Compact"/>
            </w:pPr>
            <w:r>
              <w:t xml:space="preserve">China</w:t>
            </w:r>
          </w:p>
        </w:tc>
        <w:tc>
          <w:tcPr/>
          <w:p>
            <w:pPr>
              <w:pStyle w:val="Compact"/>
            </w:pPr>
            <w:r>
              <w:t xml:space="preserve">Sustained share gains and AI catalyst</w:t>
            </w:r>
          </w:p>
        </w:tc>
        <w:tc>
          <w:tcPr/>
          <w:p>
            <w:pPr>
              <w:pStyle w:val="Compact"/>
            </w:pPr>
            <w:r>
              <w:t xml:space="preserve">Stable, mixed regional demand</w:t>
            </w:r>
          </w:p>
        </w:tc>
        <w:tc>
          <w:tcPr/>
          <w:p>
            <w:pPr>
              <w:pStyle w:val="Compact"/>
            </w:pPr>
            <w:r>
              <w:t xml:space="preserve">Reacceleration proves temporary</w:t>
            </w:r>
          </w:p>
        </w:tc>
      </w:tr>
      <w:tr>
        <w:tc>
          <w:tcPr/>
          <w:p>
            <w:pPr>
              <w:pStyle w:val="Compact"/>
            </w:pPr>
            <w:r>
              <w:t xml:space="preserve">AI</w:t>
            </w:r>
          </w:p>
        </w:tc>
        <w:tc>
          <w:tcPr/>
          <w:p>
            <w:pPr>
              <w:pStyle w:val="Compact"/>
            </w:pPr>
            <w:r>
              <w:t xml:space="preserve">Clear product/monetization progress</w:t>
            </w:r>
          </w:p>
        </w:tc>
        <w:tc>
          <w:tcPr/>
          <w:p>
            <w:pPr>
              <w:pStyle w:val="Compact"/>
            </w:pPr>
            <w:r>
              <w:t xml:space="preserve">Continued investment without major detail</w:t>
            </w:r>
          </w:p>
        </w:tc>
        <w:tc>
          <w:tcPr/>
          <w:p>
            <w:pPr>
              <w:pStyle w:val="Compact"/>
            </w:pPr>
            <w:r>
              <w:t xml:space="preserve">Delays, weak China execution, or unclear value proposition</w:t>
            </w:r>
          </w:p>
        </w:tc>
      </w:tr>
      <w:tr>
        <w:tc>
          <w:tcPr/>
          <w:p>
            <w:pPr>
              <w:pStyle w:val="Compact"/>
            </w:pPr>
            <w:r>
              <w:t xml:space="preserve">September guide</w:t>
            </w:r>
          </w:p>
        </w:tc>
        <w:tc>
          <w:tcPr/>
          <w:p>
            <w:pPr>
              <w:pStyle w:val="Compact"/>
            </w:pPr>
            <w:r>
              <w:t xml:space="preserve">Growth and margins resilient despite costs</w:t>
            </w:r>
          </w:p>
        </w:tc>
        <w:tc>
          <w:tcPr/>
          <w:p>
            <w:pPr>
              <w:pStyle w:val="Compact"/>
            </w:pPr>
            <w:r>
              <w:t xml:space="preserve">Prudent/seasonal guide</w:t>
            </w:r>
          </w:p>
        </w:tc>
        <w:tc>
          <w:tcPr/>
          <w:p>
            <w:pPr>
              <w:pStyle w:val="Compact"/>
            </w:pPr>
            <w:r>
              <w:t xml:space="preserve">Cost-driven margin reset or weak demand tone</w:t>
            </w:r>
          </w:p>
        </w:tc>
      </w:tr>
    </w:tbl>
    <w:p>
      <w:r>
        <w:pict>
          <v:rect style="width:0;height:1.5pt" o:hralign="center" o:hrstd="t" o:hr="t"/>
        </w:pict>
      </w:r>
    </w:p>
    <w:bookmarkEnd w:id="26"/>
    <w:bookmarkStart w:id="27" w:name="what-matters-most-after-the-release"/>
    <w:p>
      <w:pPr>
        <w:pStyle w:val="Heading2"/>
      </w:pPr>
      <w:r>
        <w:t xml:space="preserve">What matters most after the release</w:t>
      </w:r>
    </w:p>
    <w:p>
      <w:pPr>
        <w:pStyle w:val="FirstParagraph"/>
      </w:pPr>
      <w:r>
        <w:t xml:space="preserve">The stock likely responds most to the following hierarchy:</w:t>
      </w:r>
    </w:p>
    <w:p>
      <w:pPr>
        <w:pStyle w:val="Compact"/>
        <w:numPr>
          <w:ilvl w:val="0"/>
          <w:numId w:val="1013"/>
        </w:numPr>
      </w:pPr>
      <w:r>
        <w:rPr>
          <w:b/>
          <w:bCs/>
        </w:rPr>
        <w:t xml:space="preserve">September-quarter gross-margin outlook and memory-cost commentary</w:t>
      </w:r>
    </w:p>
    <w:p>
      <w:pPr>
        <w:pStyle w:val="Compact"/>
        <w:numPr>
          <w:ilvl w:val="0"/>
          <w:numId w:val="1013"/>
        </w:numPr>
      </w:pPr>
      <w:r>
        <w:rPr>
          <w:b/>
          <w:bCs/>
        </w:rPr>
        <w:t xml:space="preserve">iPhone demand quality, especially China</w:t>
      </w:r>
    </w:p>
    <w:p>
      <w:pPr>
        <w:pStyle w:val="Compact"/>
        <w:numPr>
          <w:ilvl w:val="0"/>
          <w:numId w:val="1013"/>
        </w:numPr>
      </w:pPr>
      <w:r>
        <w:rPr>
          <w:b/>
          <w:bCs/>
        </w:rPr>
        <w:t xml:space="preserve">September revenue guide and implications for the next iPhone cycle</w:t>
      </w:r>
    </w:p>
    <w:p>
      <w:pPr>
        <w:pStyle w:val="Compact"/>
        <w:numPr>
          <w:ilvl w:val="0"/>
          <w:numId w:val="1013"/>
        </w:numPr>
      </w:pPr>
      <w:r>
        <w:rPr>
          <w:b/>
          <w:bCs/>
        </w:rPr>
        <w:t xml:space="preserve">Services growth and monetization durability</w:t>
      </w:r>
    </w:p>
    <w:p>
      <w:pPr>
        <w:pStyle w:val="Compact"/>
        <w:numPr>
          <w:ilvl w:val="0"/>
          <w:numId w:val="1013"/>
        </w:numPr>
      </w:pPr>
      <w:r>
        <w:rPr>
          <w:b/>
          <w:bCs/>
        </w:rPr>
        <w:t xml:space="preserve">Mac supply constraints versus AI-driven demand</w:t>
      </w:r>
    </w:p>
    <w:p>
      <w:pPr>
        <w:pStyle w:val="Compact"/>
        <w:numPr>
          <w:ilvl w:val="0"/>
          <w:numId w:val="1013"/>
        </w:numPr>
      </w:pPr>
      <w:r>
        <w:rPr>
          <w:b/>
          <w:bCs/>
        </w:rPr>
        <w:t xml:space="preserve">Tone of the Cook-to-Ternus transition</w:t>
      </w:r>
    </w:p>
    <w:bookmarkEnd w:id="27"/>
    <w:bookmarkStart w:id="28" w:name="investment-takeaway"/>
    <w:p>
      <w:pPr>
        <w:pStyle w:val="Heading2"/>
      </w:pPr>
      <w:r>
        <w:t xml:space="preserve">Investment takeaway</w:t>
      </w:r>
    </w:p>
    <w:p>
      <w:pPr>
        <w:pStyle w:val="FirstParagraph"/>
      </w:pPr>
      <w:r>
        <w:t xml:space="preserve">Apple appears positioned to report a strong June quarter: its own revenue outlook implies one of the company’s fastest growth periods in years, following a March quarter in which every major geographic segment grew double digits. Yet the stock’s recent rally means investors need confirmation that the growth is durable and profitable.</w:t>
      </w:r>
    </w:p>
    <w:p>
      <w:pPr>
        <w:pStyle w:val="BodyText"/>
      </w:pPr>
      <w:r>
        <w:t xml:space="preserve">The</w:t>
      </w:r>
      <w:r>
        <w:t xml:space="preserve"> </w:t>
      </w:r>
      <w:r>
        <w:rPr>
          <w:b/>
          <w:bCs/>
        </w:rPr>
        <w:t xml:space="preserve">upside case</w:t>
      </w:r>
      <w:r>
        <w:t xml:space="preserve"> </w:t>
      </w:r>
      <w:r>
        <w:t xml:space="preserve">is a high-end revenue result driven by iPhone, China, Mac, and Services; gross margin above the guided midpoint; and a September outlook indicating Apple can navigate rising memory costs without sacrificing demand or earnings power.</w:t>
      </w:r>
    </w:p>
    <w:p>
      <w:pPr>
        <w:pStyle w:val="BodyText"/>
      </w:pPr>
      <w:r>
        <w:t xml:space="preserve">The</w:t>
      </w:r>
      <w:r>
        <w:t xml:space="preserve"> </w:t>
      </w:r>
      <w:r>
        <w:rPr>
          <w:b/>
          <w:bCs/>
        </w:rPr>
        <w:t xml:space="preserve">downside case</w:t>
      </w:r>
      <w:r>
        <w:t xml:space="preserve"> </w:t>
      </w:r>
      <w:r>
        <w:t xml:space="preserve">is not necessarily a weak June print. It is a good reported quarter paired with a cautious September margin outlook, evidence that cost inflation is outrunning pricing and mix benefits, or signs that recent iPhone and China strength is less sustainable than the market expects.</w:t>
      </w:r>
    </w:p>
    <w:p>
      <w:pPr>
        <w:pStyle w:val="BodyText"/>
      </w:pPr>
      <w:r>
        <w:rPr>
          <w:b/>
          <w:bCs/>
        </w:rPr>
        <w:t xml:space="preserve">Core conclusion:</w:t>
      </w:r>
      <w:r>
        <w:t xml:space="preserve"> </w:t>
      </w:r>
      <w:r>
        <w:t xml:space="preserve">Apple’s June-quarter results should be strong. The key question is whether management can turn that strength into confidence that FY2026’s second half will preserve both growth and margins amid memory inflation, elevated valuation, and a CEO transition.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2026-07-29T19:31:48Z</dcterms:created>
  <dcterms:modified xsi:type="dcterms:W3CDTF">2026-07-29T19:31:48Z</dcterms:modified>
</cp:coreProperties>
</file>

<file path=docProps/custom.xml><?xml version="1.0" encoding="utf-8"?>
<Properties xmlns="http://schemas.openxmlformats.org/officeDocument/2006/custom-properties" xmlns:vt="http://schemas.openxmlformats.org/officeDocument/2006/docPropsVTypes"/>
</file>