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Apple Inc. (AAPL) — Earnings Preview</w:t>
      </w:r>
    </w:p>
    <w:p>
      <w:r>
        <w:rPr>
          <w:rFonts w:ascii="Calibri" w:hAnsi="Calibri"/>
          <w:i/>
          <w:color w:val="525866"/>
          <w:sz w:val="22"/>
        </w:rPr>
        <w:t>Fiscal Q3 2026 (June Quarter)  |  Prepared: July 29, 2026  |  Earnings Date: July 30, 2026 (After Market Close)</w:t>
      </w:r>
    </w:p>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b/>
          <w:color w:val="525866"/>
          <w:sz w:val="22"/>
        </w:rPr>
        <w:t xml:space="preserve">The setup into AAPL's Q3 FY26 print is constructive — consensus sits comfortably inside management's 14–17% revenue growth guidance range, the gross margin bar is achievable, and the stock has already re-rated </w:t>
      </w:r>
      <w:r>
        <w:rPr>
          <w:rFonts w:ascii="Calibri" w:hAnsi="Calibri"/>
          <w:b/>
          <w:color w:val="30A46C"/>
          <w:sz w:val="22"/>
        </w:rPr>
        <w:t>+24.6%</w:t>
      </w:r>
      <w:r>
        <w:rPr>
          <w:rFonts w:ascii="Calibri" w:hAnsi="Calibri"/>
          <w:b/>
          <w:color w:val="525866"/>
          <w:sz w:val="22"/>
        </w:rPr>
        <w:t xml:space="preserve"> since the April 30 print. The single biggest swing factor is whether </w:t>
      </w:r>
      <w:r>
        <w:rPr>
          <w:rFonts w:ascii="Calibri" w:hAnsi="Calibri"/>
          <w:b/>
          <w:color w:val="525866"/>
          <w:sz w:val="22"/>
        </w:rPr>
        <w:t>Services can sustain its 16%+ growth trajectory</w:t>
      </w:r>
      <w:r>
        <w:rPr>
          <w:rFonts w:ascii="Calibri" w:hAnsi="Calibri"/>
          <w:b/>
          <w:color w:val="525866"/>
          <w:sz w:val="22"/>
        </w:rPr>
        <w:t xml:space="preserve"> and whether management's tone on </w:t>
      </w:r>
      <w:r>
        <w:rPr>
          <w:rFonts w:ascii="Calibri" w:hAnsi="Calibri"/>
          <w:b/>
          <w:color w:val="525866"/>
          <w:sz w:val="22"/>
        </w:rPr>
        <w:t>memory cost headwinds beyond June</w:t>
      </w:r>
      <w:r>
        <w:rPr>
          <w:rFonts w:ascii="Calibri" w:hAnsi="Calibri"/>
          <w:b/>
          <w:color w:val="525866"/>
          <w:sz w:val="22"/>
        </w:rPr>
        <w:t xml:space="preserve"> signals a more severe margin compression than the market has priced in.</w:t>
      </w:r>
    </w:p>
    <w:p>
      <w:r>
        <w:rPr>
          <w:rFonts w:ascii="Calibri" w:hAnsi="Calibri"/>
          <w:color w:val="525866"/>
          <w:sz w:val="22"/>
        </w:rPr>
        <w:t xml:space="preserve">Apple heads into its fiscal Q3 2026 earnings report on July 30 with consensus revenue of ~$108.2B sitting inside the company's own </w:t>
      </w:r>
      <w:r>
        <w:rPr>
          <w:rFonts w:ascii="Calibri" w:hAnsi="Calibri"/>
          <w:b/>
          <w:color w:val="525866"/>
          <w:sz w:val="22"/>
        </w:rPr>
        <w:t>14–17% YoY growth guidance range</w:t>
      </w:r>
      <w:r>
        <w:rPr>
          <w:rFonts w:ascii="Calibri" w:hAnsi="Calibri"/>
          <w:color w:val="525866"/>
          <w:sz w:val="22"/>
        </w:rPr>
        <w:t xml:space="preserve">, implying a bar that is neither stretched nor sandbagged. The gross margin guide of 47.5–48.5% is well-understood by the Street, with consensus at ~48.0% — squarely at the midpoint — leaving little room for a repeat of the Q2 upside surprise (49.3% actual vs. 48.3% consensus). </w:t>
      </w:r>
      <w:r>
        <w:rPr>
          <w:rFonts w:ascii="Calibri" w:hAnsi="Calibri"/>
          <w:b/>
          <w:color w:val="525866"/>
          <w:sz w:val="22"/>
        </w:rPr>
        <w:t>Services is the highest-conviction growth driver</w:t>
      </w:r>
      <w:r>
        <w:rPr>
          <w:rFonts w:ascii="Calibri" w:hAnsi="Calibri"/>
          <w:color w:val="525866"/>
          <w:sz w:val="22"/>
        </w:rPr>
        <w:t xml:space="preserve">, with consensus at ~$31.4B (+14.5% YoY), though management guided for growth "similar to the March quarter" ex-FX, which implies a slight deceleration from the 16% reported in Q2 once FX tailwinds are stripped out. The stock has already re-rated sharply (+24.6% vs. XLK +4.4% and SPY +1.5% since the April 30 print), pricing in a strong cycle and AI optionality, which raises the bar for a positive reaction. The key wildcard is </w:t>
      </w:r>
      <w:r>
        <w:rPr>
          <w:rFonts w:ascii="Calibri" w:hAnsi="Calibri"/>
          <w:b/>
          <w:color w:val="525866"/>
          <w:sz w:val="22"/>
        </w:rPr>
        <w:t>management's forward commentary on memory costs</w:t>
      </w:r>
      <w:r>
        <w:rPr>
          <w:rFonts w:ascii="Calibri" w:hAnsi="Calibri"/>
          <w:color w:val="525866"/>
          <w:sz w:val="22"/>
        </w:rPr>
        <w:t xml:space="preserve"> — they explicitly warned of an "increasing impact" beyond June, and any quantification or escalation of that language could weigh on FY27 estimates and the multiple.</w:t>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b/>
          <w:color w:val="525866"/>
          <w:sz w:val="22"/>
        </w:rPr>
        <w:t xml:space="preserve">Consensus sits inside guidance on every major metric, making this a bar that is achievable but not easy to beat — </w:t>
      </w:r>
      <w:r>
        <w:rPr>
          <w:rFonts w:ascii="Calibri" w:hAnsi="Calibri"/>
          <w:b/>
          <w:color w:val="525866"/>
          <w:sz w:val="22"/>
        </w:rPr>
        <w:t>Services growth trajectory and gross margin</w:t>
      </w:r>
      <w:r>
        <w:rPr>
          <w:rFonts w:ascii="Calibri" w:hAnsi="Calibri"/>
          <w:b/>
          <w:color w:val="525866"/>
          <w:sz w:val="22"/>
        </w:rPr>
        <w:t xml:space="preserve"> are the two swing factors most likely to drive the stock on results day.</w:t>
      </w:r>
    </w:p>
    <w:p>
      <w:r>
        <w:rPr>
          <w:rFonts w:ascii="Calibri" w:hAnsi="Calibri"/>
          <w:b/>
          <w:color w:val="525866"/>
          <w:sz w:val="22"/>
        </w:rPr>
        <w:t>Table 1 — Current Quarter Snapshot (Q3 FY26 Consensus vs. Prior Periods)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Q3 FY25 Actual (Prior Year)</w:t>
            </w:r>
          </w:p>
        </w:tc>
        <w:tc>
          <w:tcPr>
            <w:tcW w:type="dxa" w:w="1234"/>
            <w:shd w:val="clear" w:color="auto" w:fill="3B4259"/>
          </w:tcPr>
          <w:p>
            <w:r>
              <w:rPr>
                <w:rFonts w:ascii="Calibri" w:hAnsi="Calibri"/>
                <w:b/>
                <w:color w:val="FFFFFF"/>
                <w:sz w:val="22"/>
              </w:rPr>
              <w:t>Q2 FY26 Actual (Last Quarter)</w:t>
            </w:r>
          </w:p>
        </w:tc>
        <w:tc>
          <w:tcPr>
            <w:tcW w:type="dxa" w:w="1234"/>
            <w:shd w:val="clear" w:color="auto" w:fill="3B4259"/>
          </w:tcPr>
          <w:p>
            <w:r>
              <w:rPr>
                <w:rFonts w:ascii="Calibri" w:hAnsi="Calibri"/>
                <w:b/>
                <w:color w:val="FFFFFF"/>
                <w:sz w:val="22"/>
              </w:rPr>
              <w:t>Q3 FY26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w:t>
            </w:r>
          </w:p>
        </w:tc>
        <w:tc>
          <w:tcPr>
            <w:tcW w:type="dxa" w:w="1234"/>
          </w:tcPr>
          <w:p>
            <w:r>
              <w:rPr>
                <w:rFonts w:ascii="Calibri" w:hAnsi="Calibri"/>
                <w:sz w:val="22"/>
              </w:rPr>
              <w:t>$94.0B</w:t>
            </w:r>
          </w:p>
        </w:tc>
        <w:tc>
          <w:tcPr>
            <w:tcW w:type="dxa" w:w="1234"/>
          </w:tcPr>
          <w:p>
            <w:r>
              <w:rPr>
                <w:rFonts w:ascii="Calibri" w:hAnsi="Calibri"/>
                <w:sz w:val="22"/>
              </w:rPr>
              <w:t>$111.2B</w:t>
            </w:r>
          </w:p>
        </w:tc>
        <w:tc>
          <w:tcPr>
            <w:tcW w:type="dxa" w:w="1234"/>
          </w:tcPr>
          <w:p>
            <w:r>
              <w:rPr>
                <w:rFonts w:ascii="Calibri" w:hAnsi="Calibri"/>
                <w:sz w:val="22"/>
              </w:rPr>
              <w:t>$108.2B</w:t>
            </w:r>
          </w:p>
        </w:tc>
        <w:tc>
          <w:tcPr>
            <w:tcW w:type="dxa" w:w="1234"/>
          </w:tcPr>
          <w:p>
            <w:r>
              <w:rPr>
                <w:rFonts w:ascii="Calibri" w:hAnsi="Calibri"/>
                <w:sz w:val="22"/>
              </w:rPr>
              <w:t>+15.1%</w:t>
            </w:r>
          </w:p>
        </w:tc>
        <w:tc>
          <w:tcPr>
            <w:tcW w:type="dxa" w:w="1234"/>
          </w:tcPr>
          <w:p>
            <w:r>
              <w:rPr>
                <w:rFonts w:ascii="Calibri" w:hAnsi="Calibri"/>
                <w:sz w:val="22"/>
              </w:rPr>
              <w:t>+14% to +17% YoY</w:t>
            </w:r>
          </w:p>
        </w:tc>
        <w:tc>
          <w:tcPr>
            <w:tcW w:type="dxa" w:w="1234"/>
          </w:tcPr>
          <w:p>
            <w:r>
              <w:rPr>
                <w:rFonts w:ascii="Calibri" w:hAnsi="Calibri"/>
                <w:sz w:val="22"/>
              </w:rPr>
              <w:t>At midpoint</w:t>
            </w:r>
          </w:p>
        </w:tc>
      </w:tr>
      <w:tr>
        <w:tc>
          <w:tcPr>
            <w:tcW w:type="dxa" w:w="1234"/>
          </w:tcPr>
          <w:p>
            <w:r>
              <w:rPr>
                <w:rFonts w:ascii="Calibri" w:hAnsi="Calibri"/>
                <w:sz w:val="22"/>
              </w:rPr>
              <w:t>iPhone Revenue</w:t>
            </w:r>
          </w:p>
        </w:tc>
        <w:tc>
          <w:tcPr>
            <w:tcW w:type="dxa" w:w="1234"/>
          </w:tcPr>
          <w:p>
            <w:r>
              <w:rPr>
                <w:rFonts w:ascii="Calibri" w:hAnsi="Calibri"/>
                <w:sz w:val="22"/>
              </w:rPr>
              <w:t>$44.6B</w:t>
            </w:r>
          </w:p>
        </w:tc>
        <w:tc>
          <w:tcPr>
            <w:tcW w:type="dxa" w:w="1234"/>
          </w:tcPr>
          <w:p>
            <w:r>
              <w:rPr>
                <w:rFonts w:ascii="Calibri" w:hAnsi="Calibri"/>
                <w:sz w:val="22"/>
              </w:rPr>
              <w:t>$57.0B</w:t>
            </w:r>
          </w:p>
        </w:tc>
        <w:tc>
          <w:tcPr>
            <w:tcW w:type="dxa" w:w="1234"/>
          </w:tcPr>
          <w:p>
            <w:r>
              <w:rPr>
                <w:rFonts w:ascii="Calibri" w:hAnsi="Calibri"/>
                <w:sz w:val="22"/>
              </w:rPr>
              <w:t>$53.1B</w:t>
            </w:r>
          </w:p>
        </w:tc>
        <w:tc>
          <w:tcPr>
            <w:tcW w:type="dxa" w:w="1234"/>
          </w:tcPr>
          <w:p>
            <w:r>
              <w:rPr>
                <w:rFonts w:ascii="Calibri" w:hAnsi="Calibri"/>
                <w:sz w:val="22"/>
              </w:rPr>
              <w:t>+19.1%</w:t>
            </w:r>
          </w:p>
        </w:tc>
        <w:tc>
          <w:tcPr>
            <w:tcW w:type="dxa" w:w="1234"/>
          </w:tcPr>
          <w:p>
            <w:r>
              <w:rPr>
                <w:rFonts w:ascii="Calibri" w:hAnsi="Calibri"/>
                <w:sz w:val="22"/>
              </w:rPr>
              <w:t>Not guided directly</w:t>
            </w:r>
          </w:p>
        </w:tc>
        <w:tc>
          <w:tcPr>
            <w:tcW w:type="dxa" w:w="1234"/>
          </w:tcPr>
          <w:p>
            <w:r>
              <w:rPr>
                <w:rFonts w:ascii="Calibri" w:hAnsi="Calibri"/>
                <w:sz w:val="22"/>
              </w:rPr>
              <w:t>N/A</w:t>
            </w:r>
          </w:p>
        </w:tc>
      </w:tr>
      <w:tr>
        <w:tc>
          <w:tcPr>
            <w:tcW w:type="dxa" w:w="1234"/>
          </w:tcPr>
          <w:p>
            <w:r>
              <w:rPr>
                <w:rFonts w:ascii="Calibri" w:hAnsi="Calibri"/>
                <w:sz w:val="22"/>
              </w:rPr>
              <w:t>Services Revenue</w:t>
            </w:r>
          </w:p>
        </w:tc>
        <w:tc>
          <w:tcPr>
            <w:tcW w:type="dxa" w:w="1234"/>
          </w:tcPr>
          <w:p>
            <w:r>
              <w:rPr>
                <w:rFonts w:ascii="Calibri" w:hAnsi="Calibri"/>
                <w:sz w:val="22"/>
              </w:rPr>
              <w:t>$27.4B</w:t>
            </w:r>
          </w:p>
        </w:tc>
        <w:tc>
          <w:tcPr>
            <w:tcW w:type="dxa" w:w="1234"/>
          </w:tcPr>
          <w:p>
            <w:r>
              <w:rPr>
                <w:rFonts w:ascii="Calibri" w:hAnsi="Calibri"/>
                <w:sz w:val="22"/>
              </w:rPr>
              <w:t>$31.0B</w:t>
            </w:r>
          </w:p>
        </w:tc>
        <w:tc>
          <w:tcPr>
            <w:tcW w:type="dxa" w:w="1234"/>
          </w:tcPr>
          <w:p>
            <w:r>
              <w:rPr>
                <w:rFonts w:ascii="Calibri" w:hAnsi="Calibri"/>
                <w:sz w:val="22"/>
              </w:rPr>
              <w:t>$31.4B</w:t>
            </w:r>
          </w:p>
        </w:tc>
        <w:tc>
          <w:tcPr>
            <w:tcW w:type="dxa" w:w="1234"/>
          </w:tcPr>
          <w:p>
            <w:r>
              <w:rPr>
                <w:rFonts w:ascii="Calibri" w:hAnsi="Calibri"/>
                <w:sz w:val="22"/>
              </w:rPr>
              <w:t>+14.5%</w:t>
            </w:r>
          </w:p>
        </w:tc>
        <w:tc>
          <w:tcPr>
            <w:tcW w:type="dxa" w:w="1234"/>
          </w:tcPr>
          <w:p>
            <w:r>
              <w:rPr>
                <w:rFonts w:ascii="Calibri" w:hAnsi="Calibri"/>
                <w:sz w:val="22"/>
              </w:rPr>
              <w:t>~Similar to Q2 ex-FX</w:t>
            </w:r>
          </w:p>
        </w:tc>
        <w:tc>
          <w:tcPr>
            <w:tcW w:type="dxa" w:w="1234"/>
          </w:tcPr>
          <w:p>
            <w:r>
              <w:rPr>
                <w:rFonts w:ascii="Calibri" w:hAnsi="Calibri"/>
                <w:sz w:val="22"/>
              </w:rPr>
              <w:t>Slightly above</w:t>
            </w:r>
          </w:p>
        </w:tc>
      </w:tr>
      <w:tr>
        <w:tc>
          <w:tcPr>
            <w:tcW w:type="dxa" w:w="1234"/>
          </w:tcPr>
          <w:p>
            <w:r>
              <w:rPr>
                <w:rFonts w:ascii="Calibri" w:hAnsi="Calibri"/>
                <w:sz w:val="22"/>
              </w:rPr>
              <w:t>Mac Revenue</w:t>
            </w:r>
          </w:p>
        </w:tc>
        <w:tc>
          <w:tcPr>
            <w:tcW w:type="dxa" w:w="1234"/>
          </w:tcPr>
          <w:p>
            <w:r>
              <w:rPr>
                <w:rFonts w:ascii="Calibri" w:hAnsi="Calibri"/>
                <w:sz w:val="22"/>
              </w:rPr>
              <w:t>$8.0B</w:t>
            </w:r>
          </w:p>
        </w:tc>
        <w:tc>
          <w:tcPr>
            <w:tcW w:type="dxa" w:w="1234"/>
          </w:tcPr>
          <w:p>
            <w:r>
              <w:rPr>
                <w:rFonts w:ascii="Calibri" w:hAnsi="Calibri"/>
                <w:sz w:val="22"/>
              </w:rPr>
              <w:t>$8.4B</w:t>
            </w:r>
          </w:p>
        </w:tc>
        <w:tc>
          <w:tcPr>
            <w:tcW w:type="dxa" w:w="1234"/>
          </w:tcPr>
          <w:p>
            <w:r>
              <w:rPr>
                <w:rFonts w:ascii="Calibri" w:hAnsi="Calibri"/>
                <w:sz w:val="22"/>
              </w:rPr>
              <w:t>$8.8B</w:t>
            </w:r>
          </w:p>
        </w:tc>
        <w:tc>
          <w:tcPr>
            <w:tcW w:type="dxa" w:w="1234"/>
          </w:tcPr>
          <w:p>
            <w:r>
              <w:rPr>
                <w:rFonts w:ascii="Calibri" w:hAnsi="Calibri"/>
                <w:sz w:val="22"/>
              </w:rPr>
              <w:t>+9.4%</w:t>
            </w:r>
          </w:p>
        </w:tc>
        <w:tc>
          <w:tcPr>
            <w:tcW w:type="dxa" w:w="1234"/>
          </w:tcPr>
          <w:p>
            <w:r>
              <w:rPr>
                <w:rFonts w:ascii="Calibri" w:hAnsi="Calibri"/>
                <w:sz w:val="22"/>
              </w:rPr>
              <w:t>Not guided directly</w:t>
            </w:r>
          </w:p>
        </w:tc>
        <w:tc>
          <w:tcPr>
            <w:tcW w:type="dxa" w:w="1234"/>
          </w:tcPr>
          <w:p>
            <w:r>
              <w:rPr>
                <w:rFonts w:ascii="Calibri" w:hAnsi="Calibri"/>
                <w:sz w:val="22"/>
              </w:rPr>
              <w:t>N/A</w:t>
            </w:r>
          </w:p>
        </w:tc>
      </w:tr>
      <w:tr>
        <w:tc>
          <w:tcPr>
            <w:tcW w:type="dxa" w:w="1234"/>
          </w:tcPr>
          <w:p>
            <w:r>
              <w:rPr>
                <w:rFonts w:ascii="Calibri" w:hAnsi="Calibri"/>
                <w:sz w:val="22"/>
              </w:rPr>
              <w:t>iPad Revenue</w:t>
            </w:r>
          </w:p>
        </w:tc>
        <w:tc>
          <w:tcPr>
            <w:tcW w:type="dxa" w:w="1234"/>
          </w:tcPr>
          <w:p>
            <w:r>
              <w:rPr>
                <w:rFonts w:ascii="Calibri" w:hAnsi="Calibri"/>
                <w:sz w:val="22"/>
              </w:rPr>
              <w:t>$6.6B</w:t>
            </w:r>
          </w:p>
        </w:tc>
        <w:tc>
          <w:tcPr>
            <w:tcW w:type="dxa" w:w="1234"/>
          </w:tcPr>
          <w:p>
            <w:r>
              <w:rPr>
                <w:rFonts w:ascii="Calibri" w:hAnsi="Calibri"/>
                <w:sz w:val="22"/>
              </w:rPr>
              <w:t>$6.9B</w:t>
            </w:r>
          </w:p>
        </w:tc>
        <w:tc>
          <w:tcPr>
            <w:tcW w:type="dxa" w:w="1234"/>
          </w:tcPr>
          <w:p>
            <w:r>
              <w:rPr>
                <w:rFonts w:ascii="Calibri" w:hAnsi="Calibri"/>
                <w:sz w:val="22"/>
              </w:rPr>
              <w:t>$6.9B</w:t>
            </w:r>
          </w:p>
        </w:tc>
        <w:tc>
          <w:tcPr>
            <w:tcW w:type="dxa" w:w="1234"/>
          </w:tcPr>
          <w:p>
            <w:r>
              <w:rPr>
                <w:rFonts w:ascii="Calibri" w:hAnsi="Calibri"/>
                <w:sz w:val="22"/>
              </w:rPr>
              <w:t>+4.8%</w:t>
            </w:r>
          </w:p>
        </w:tc>
        <w:tc>
          <w:tcPr>
            <w:tcW w:type="dxa" w:w="1234"/>
          </w:tcPr>
          <w:p>
            <w:r>
              <w:rPr>
                <w:rFonts w:ascii="Calibri" w:hAnsi="Calibri"/>
                <w:sz w:val="22"/>
              </w:rPr>
              <w:t>Not guided directly</w:t>
            </w:r>
          </w:p>
        </w:tc>
        <w:tc>
          <w:tcPr>
            <w:tcW w:type="dxa" w:w="1234"/>
          </w:tcPr>
          <w:p>
            <w:r>
              <w:rPr>
                <w:rFonts w:ascii="Calibri" w:hAnsi="Calibri"/>
                <w:sz w:val="22"/>
              </w:rPr>
              <w:t>N/A</w:t>
            </w:r>
          </w:p>
        </w:tc>
      </w:tr>
      <w:tr>
        <w:tc>
          <w:tcPr>
            <w:tcW w:type="dxa" w:w="1234"/>
          </w:tcPr>
          <w:p>
            <w:r>
              <w:rPr>
                <w:rFonts w:ascii="Calibri" w:hAnsi="Calibri"/>
                <w:sz w:val="22"/>
              </w:rPr>
              <w:t>Wearables, Home &amp; Accessories</w:t>
            </w:r>
          </w:p>
        </w:tc>
        <w:tc>
          <w:tcPr>
            <w:tcW w:type="dxa" w:w="1234"/>
          </w:tcPr>
          <w:p>
            <w:r>
              <w:rPr>
                <w:rFonts w:ascii="Calibri" w:hAnsi="Calibri"/>
                <w:sz w:val="22"/>
              </w:rPr>
              <w:t>$7.4B</w:t>
            </w:r>
          </w:p>
        </w:tc>
        <w:tc>
          <w:tcPr>
            <w:tcW w:type="dxa" w:w="1234"/>
          </w:tcPr>
          <w:p>
            <w:r>
              <w:rPr>
                <w:rFonts w:ascii="Calibri" w:hAnsi="Calibri"/>
                <w:sz w:val="22"/>
              </w:rPr>
              <w:t>$7.9B</w:t>
            </w:r>
          </w:p>
        </w:tc>
        <w:tc>
          <w:tcPr>
            <w:tcW w:type="dxa" w:w="1234"/>
          </w:tcPr>
          <w:p>
            <w:r>
              <w:rPr>
                <w:rFonts w:ascii="Calibri" w:hAnsi="Calibri"/>
                <w:sz w:val="22"/>
              </w:rPr>
              <w:t>$7.9B</w:t>
            </w:r>
          </w:p>
        </w:tc>
        <w:tc>
          <w:tcPr>
            <w:tcW w:type="dxa" w:w="1234"/>
          </w:tcPr>
          <w:p>
            <w:r>
              <w:rPr>
                <w:rFonts w:ascii="Calibri" w:hAnsi="Calibri"/>
                <w:sz w:val="22"/>
              </w:rPr>
              <w:t>+6.7%</w:t>
            </w:r>
          </w:p>
        </w:tc>
        <w:tc>
          <w:tcPr>
            <w:tcW w:type="dxa" w:w="1234"/>
          </w:tcPr>
          <w:p>
            <w:r>
              <w:rPr>
                <w:rFonts w:ascii="Calibri" w:hAnsi="Calibri"/>
                <w:sz w:val="22"/>
              </w:rPr>
              <w:t>Not guided directly</w:t>
            </w:r>
          </w:p>
        </w:tc>
        <w:tc>
          <w:tcPr>
            <w:tcW w:type="dxa" w:w="1234"/>
          </w:tcPr>
          <w:p>
            <w:r>
              <w:rPr>
                <w:rFonts w:ascii="Calibri" w:hAnsi="Calibri"/>
                <w:sz w:val="22"/>
              </w:rPr>
              <w:t>N/A</w:t>
            </w:r>
          </w:p>
        </w:tc>
      </w:tr>
      <w:tr>
        <w:tc>
          <w:tcPr>
            <w:tcW w:type="dxa" w:w="1234"/>
          </w:tcPr>
          <w:p>
            <w:r>
              <w:rPr>
                <w:rFonts w:ascii="Calibri" w:hAnsi="Calibri"/>
                <w:sz w:val="22"/>
              </w:rPr>
              <w:t>Greater China Revenue</w:t>
            </w:r>
          </w:p>
        </w:tc>
        <w:tc>
          <w:tcPr>
            <w:tcW w:type="dxa" w:w="1234"/>
          </w:tcPr>
          <w:p>
            <w:r>
              <w:rPr>
                <w:rFonts w:ascii="Calibri" w:hAnsi="Calibri"/>
                <w:sz w:val="22"/>
              </w:rPr>
              <w:t>$15.4B</w:t>
            </w:r>
          </w:p>
        </w:tc>
        <w:tc>
          <w:tcPr>
            <w:tcW w:type="dxa" w:w="1234"/>
          </w:tcPr>
          <w:p>
            <w:r>
              <w:rPr>
                <w:rFonts w:ascii="Calibri" w:hAnsi="Calibri"/>
                <w:sz w:val="22"/>
              </w:rPr>
              <w:t>$20.5B</w:t>
            </w:r>
          </w:p>
        </w:tc>
        <w:tc>
          <w:tcPr>
            <w:tcW w:type="dxa" w:w="1234"/>
          </w:tcPr>
          <w:p>
            <w:r>
              <w:rPr>
                <w:rFonts w:ascii="Calibri" w:hAnsi="Calibri"/>
                <w:sz w:val="22"/>
              </w:rPr>
              <w:t>$19.7B</w:t>
            </w:r>
          </w:p>
        </w:tc>
        <w:tc>
          <w:tcPr>
            <w:tcW w:type="dxa" w:w="1234"/>
          </w:tcPr>
          <w:p>
            <w:r>
              <w:rPr>
                <w:rFonts w:ascii="Calibri" w:hAnsi="Calibri"/>
                <w:sz w:val="22"/>
              </w:rPr>
              <w:t>+28.2%</w:t>
            </w:r>
          </w:p>
        </w:tc>
        <w:tc>
          <w:tcPr>
            <w:tcW w:type="dxa" w:w="1234"/>
          </w:tcPr>
          <w:p>
            <w:r>
              <w:rPr>
                <w:rFonts w:ascii="Calibri" w:hAnsi="Calibri"/>
                <w:sz w:val="22"/>
              </w:rPr>
              <w:t>Not guided directly</w:t>
            </w:r>
          </w:p>
        </w:tc>
        <w:tc>
          <w:tcPr>
            <w:tcW w:type="dxa" w:w="1234"/>
          </w:tcPr>
          <w:p>
            <w:r>
              <w:rPr>
                <w:rFonts w:ascii="Calibri" w:hAnsi="Calibri"/>
                <w:sz w:val="22"/>
              </w:rPr>
              <w:t>N/A</w:t>
            </w:r>
          </w:p>
        </w:tc>
      </w:tr>
      <w:tr>
        <w:tc>
          <w:tcPr>
            <w:tcW w:type="dxa" w:w="1234"/>
          </w:tcPr>
          <w:p>
            <w:r>
              <w:rPr>
                <w:rFonts w:ascii="Calibri" w:hAnsi="Calibri"/>
                <w:sz w:val="22"/>
              </w:rPr>
              <w:t>Gross Margin</w:t>
            </w:r>
          </w:p>
        </w:tc>
        <w:tc>
          <w:tcPr>
            <w:tcW w:type="dxa" w:w="1234"/>
          </w:tcPr>
          <w:p>
            <w:r>
              <w:rPr>
                <w:rFonts w:ascii="Calibri" w:hAnsi="Calibri"/>
                <w:sz w:val="22"/>
              </w:rPr>
              <w:t>46.5%</w:t>
            </w:r>
          </w:p>
        </w:tc>
        <w:tc>
          <w:tcPr>
            <w:tcW w:type="dxa" w:w="1234"/>
          </w:tcPr>
          <w:p>
            <w:r>
              <w:rPr>
                <w:rFonts w:ascii="Calibri" w:hAnsi="Calibri"/>
                <w:sz w:val="22"/>
              </w:rPr>
              <w:t>49.3%</w:t>
            </w:r>
          </w:p>
        </w:tc>
        <w:tc>
          <w:tcPr>
            <w:tcW w:type="dxa" w:w="1234"/>
          </w:tcPr>
          <w:p>
            <w:r>
              <w:rPr>
                <w:rFonts w:ascii="Calibri" w:hAnsi="Calibri"/>
                <w:sz w:val="22"/>
              </w:rPr>
              <w:t>48.0%</w:t>
            </w:r>
          </w:p>
        </w:tc>
        <w:tc>
          <w:tcPr>
            <w:tcW w:type="dxa" w:w="1234"/>
          </w:tcPr>
          <w:p>
            <w:r>
              <w:rPr>
                <w:rFonts w:ascii="Calibri" w:hAnsi="Calibri"/>
                <w:sz w:val="22"/>
              </w:rPr>
              <w:t>+150 bps</w:t>
            </w:r>
          </w:p>
        </w:tc>
        <w:tc>
          <w:tcPr>
            <w:tcW w:type="dxa" w:w="1234"/>
          </w:tcPr>
          <w:p>
            <w:r>
              <w:rPr>
                <w:rFonts w:ascii="Calibri" w:hAnsi="Calibri"/>
                <w:sz w:val="22"/>
              </w:rPr>
              <w:t>47.5%–48.5%</w:t>
            </w:r>
          </w:p>
        </w:tc>
        <w:tc>
          <w:tcPr>
            <w:tcW w:type="dxa" w:w="1234"/>
          </w:tcPr>
          <w:p>
            <w:r>
              <w:rPr>
                <w:rFonts w:ascii="Calibri" w:hAnsi="Calibri"/>
                <w:sz w:val="22"/>
              </w:rPr>
              <w:t>At midpoint</w:t>
            </w:r>
          </w:p>
        </w:tc>
      </w:tr>
      <w:tr>
        <w:tc>
          <w:tcPr>
            <w:tcW w:type="dxa" w:w="1234"/>
          </w:tcPr>
          <w:p>
            <w:r>
              <w:rPr>
                <w:rFonts w:ascii="Calibri" w:hAnsi="Calibri"/>
                <w:sz w:val="22"/>
              </w:rPr>
              <w:t>EPS (Diluted)</w:t>
            </w:r>
          </w:p>
        </w:tc>
        <w:tc>
          <w:tcPr>
            <w:tcW w:type="dxa" w:w="1234"/>
          </w:tcPr>
          <w:p>
            <w:r>
              <w:rPr>
                <w:rFonts w:ascii="Calibri" w:hAnsi="Calibri"/>
                <w:sz w:val="22"/>
              </w:rPr>
              <w:t>$1.57</w:t>
            </w:r>
          </w:p>
        </w:tc>
        <w:tc>
          <w:tcPr>
            <w:tcW w:type="dxa" w:w="1234"/>
          </w:tcPr>
          <w:p>
            <w:r>
              <w:rPr>
                <w:rFonts w:ascii="Calibri" w:hAnsi="Calibri"/>
                <w:sz w:val="22"/>
              </w:rPr>
              <w:t>$2.01</w:t>
            </w:r>
          </w:p>
        </w:tc>
        <w:tc>
          <w:tcPr>
            <w:tcW w:type="dxa" w:w="1234"/>
          </w:tcPr>
          <w:p>
            <w:r>
              <w:rPr>
                <w:rFonts w:ascii="Calibri" w:hAnsi="Calibri"/>
                <w:sz w:val="22"/>
              </w:rPr>
              <w:t>$1.87</w:t>
            </w:r>
          </w:p>
        </w:tc>
        <w:tc>
          <w:tcPr>
            <w:tcW w:type="dxa" w:w="1234"/>
          </w:tcPr>
          <w:p>
            <w:r>
              <w:rPr>
                <w:rFonts w:ascii="Calibri" w:hAnsi="Calibri"/>
                <w:sz w:val="22"/>
              </w:rPr>
              <w:t>+19.1%</w:t>
            </w:r>
          </w:p>
        </w:tc>
        <w:tc>
          <w:tcPr>
            <w:tcW w:type="dxa" w:w="1234"/>
          </w:tcPr>
          <w:p>
            <w:r>
              <w:rPr>
                <w:rFonts w:ascii="Calibri" w:hAnsi="Calibri"/>
                <w:sz w:val="22"/>
              </w:rPr>
              <w:t>Not guided directly</w:t>
            </w:r>
          </w:p>
        </w:tc>
        <w:tc>
          <w:tcPr>
            <w:tcW w:type="dxa" w:w="1234"/>
          </w:tcPr>
          <w:p>
            <w:r>
              <w:rPr>
                <w:rFonts w:ascii="Calibri" w:hAnsi="Calibri"/>
                <w:sz w:val="22"/>
              </w:rPr>
              <w:t>N/A</w:t>
            </w:r>
          </w:p>
        </w:tc>
      </w:tr>
      <w:tr>
        <w:tc>
          <w:tcPr>
            <w:tcW w:type="dxa" w:w="1234"/>
          </w:tcPr>
          <w:p>
            <w:r>
              <w:rPr>
                <w:rFonts w:ascii="Calibri" w:hAnsi="Calibri"/>
                <w:sz w:val="22"/>
              </w:rPr>
              <w:t>Operating Income</w:t>
            </w:r>
          </w:p>
        </w:tc>
        <w:tc>
          <w:tcPr>
            <w:tcW w:type="dxa" w:w="1234"/>
          </w:tcPr>
          <w:p>
            <w:r>
              <w:rPr>
                <w:rFonts w:ascii="Calibri" w:hAnsi="Calibri"/>
                <w:sz w:val="22"/>
              </w:rPr>
              <w:t>$28.2B</w:t>
            </w:r>
          </w:p>
        </w:tc>
        <w:tc>
          <w:tcPr>
            <w:tcW w:type="dxa" w:w="1234"/>
          </w:tcPr>
          <w:p>
            <w:r>
              <w:rPr>
                <w:rFonts w:ascii="Calibri" w:hAnsi="Calibri"/>
                <w:sz w:val="22"/>
              </w:rPr>
              <w:t>$35.9B</w:t>
            </w:r>
          </w:p>
        </w:tc>
        <w:tc>
          <w:tcPr>
            <w:tcW w:type="dxa" w:w="1234"/>
          </w:tcPr>
          <w:p>
            <w:r>
              <w:rPr>
                <w:rFonts w:ascii="Calibri" w:hAnsi="Calibri"/>
                <w:sz w:val="22"/>
              </w:rPr>
              <w:t>$33.0B</w:t>
            </w:r>
          </w:p>
        </w:tc>
        <w:tc>
          <w:tcPr>
            <w:tcW w:type="dxa" w:w="1234"/>
          </w:tcPr>
          <w:p>
            <w:r>
              <w:rPr>
                <w:rFonts w:ascii="Calibri" w:hAnsi="Calibri"/>
                <w:sz w:val="22"/>
              </w:rPr>
              <w:t>+17.0%</w:t>
            </w:r>
          </w:p>
        </w:tc>
        <w:tc>
          <w:tcPr>
            <w:tcW w:type="dxa" w:w="1234"/>
          </w:tcPr>
          <w:p>
            <w:r>
              <w:rPr>
                <w:rFonts w:ascii="Calibri" w:hAnsi="Calibri"/>
                <w:sz w:val="22"/>
              </w:rPr>
              <w:t>OpEx: $18.8B–$19.1B</w:t>
            </w:r>
          </w:p>
        </w:tc>
        <w:tc>
          <w:tcPr>
            <w:tcW w:type="dxa" w:w="1234"/>
          </w:tcPr>
          <w:p>
            <w:r>
              <w:rPr>
                <w:rFonts w:ascii="Calibri" w:hAnsi="Calibri"/>
                <w:sz w:val="22"/>
              </w:rPr>
              <w:t>Consistent</w:t>
            </w:r>
          </w:p>
        </w:tc>
      </w:tr>
      <w:tr>
        <w:tc>
          <w:tcPr>
            <w:tcW w:type="dxa" w:w="1234"/>
          </w:tcPr>
          <w:p>
            <w:r>
              <w:rPr>
                <w:rFonts w:ascii="Calibri" w:hAnsi="Calibri"/>
                <w:sz w:val="22"/>
              </w:rPr>
              <w:t>Free Cash Flow</w:t>
            </w:r>
          </w:p>
        </w:tc>
        <w:tc>
          <w:tcPr>
            <w:tcW w:type="dxa" w:w="1234"/>
          </w:tcPr>
          <w:p>
            <w:r>
              <w:rPr>
                <w:rFonts w:ascii="Calibri" w:hAnsi="Calibri"/>
                <w:sz w:val="22"/>
              </w:rPr>
              <w:t>$24.4B</w:t>
            </w:r>
          </w:p>
        </w:tc>
        <w:tc>
          <w:tcPr>
            <w:tcW w:type="dxa" w:w="1234"/>
          </w:tcPr>
          <w:p>
            <w:r>
              <w:rPr>
                <w:rFonts w:ascii="Calibri" w:hAnsi="Calibri"/>
                <w:sz w:val="22"/>
              </w:rPr>
              <w:t>$26.7B</w:t>
            </w:r>
          </w:p>
        </w:tc>
        <w:tc>
          <w:tcPr>
            <w:tcW w:type="dxa" w:w="1234"/>
          </w:tcPr>
          <w:p>
            <w:r>
              <w:rPr>
                <w:rFonts w:ascii="Calibri" w:hAnsi="Calibri"/>
                <w:sz w:val="22"/>
              </w:rPr>
              <w:t>$32.4B</w:t>
            </w:r>
          </w:p>
        </w:tc>
        <w:tc>
          <w:tcPr>
            <w:tcW w:type="dxa" w:w="1234"/>
          </w:tcPr>
          <w:p>
            <w:r>
              <w:rPr>
                <w:rFonts w:ascii="Calibri" w:hAnsi="Calibri"/>
                <w:sz w:val="22"/>
              </w:rPr>
              <w:t>+32.8%</w:t>
            </w:r>
          </w:p>
        </w:tc>
        <w:tc>
          <w:tcPr>
            <w:tcW w:type="dxa" w:w="1234"/>
          </w:tcPr>
          <w:p>
            <w:r>
              <w:rPr>
                <w:rFonts w:ascii="Calibri" w:hAnsi="Calibri"/>
                <w:sz w:val="22"/>
              </w:rPr>
              <w:t>Not guided directly</w:t>
            </w:r>
          </w:p>
        </w:tc>
        <w:tc>
          <w:tcPr>
            <w:tcW w:type="dxa" w:w="1234"/>
          </w:tcPr>
          <w:p>
            <w:r>
              <w:rPr>
                <w:rFonts w:ascii="Calibri" w:hAnsi="Calibri"/>
                <w:sz w:val="22"/>
              </w:rPr>
              <w:t>N/A</w:t>
            </w:r>
          </w:p>
        </w:tc>
      </w:tr>
    </w:tbl>
    <w:p>
      <w:r>
        <w:rPr>
          <w:rFonts w:ascii="Calibri" w:hAnsi="Calibri"/>
          <w:i/>
          <w:color w:val="525866"/>
          <w:sz w:val="22"/>
        </w:rPr>
        <w:t>Source: Visible Alpha consensus as of July 29, 2026. iPhone revenue consensus has ticked slightly lower since last earnings (from $53.5B to $53.1B), while Services has remained stable at ~$31.4B. Gross margin consensus of 48.0% sits at the midpoint of the 47.5–48.5% guidance range.</w:t>
      </w:r>
    </w:p>
    <w:p>
      <w:r>
        <w:rPr>
          <w:rFonts w:ascii="Calibri" w:hAnsi="Calibri"/>
          <w:b/>
          <w:color w:val="525866"/>
          <w:sz w:val="22"/>
        </w:rPr>
        <w:t>Table 2 — Beat/Miss History (Last 8 Quarters, Top 2 KPIs: Total Revenue &amp; EPS Diluted)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Revenue Reported</w:t>
            </w:r>
          </w:p>
        </w:tc>
        <w:tc>
          <w:tcPr>
            <w:tcW w:type="dxa" w:w="1080"/>
            <w:shd w:val="clear" w:color="auto" w:fill="3B4259"/>
          </w:tcPr>
          <w:p>
            <w:r>
              <w:rPr>
                <w:rFonts w:ascii="Calibri" w:hAnsi="Calibri"/>
                <w:b/>
                <w:color w:val="FFFFFF"/>
                <w:sz w:val="22"/>
              </w:rPr>
              <w:t>Revenue Consensus</w:t>
            </w:r>
          </w:p>
        </w:tc>
        <w:tc>
          <w:tcPr>
            <w:tcW w:type="dxa" w:w="1080"/>
            <w:shd w:val="clear" w:color="auto" w:fill="3B4259"/>
          </w:tcPr>
          <w:p>
            <w:r>
              <w:rPr>
                <w:rFonts w:ascii="Calibri" w:hAnsi="Calibri"/>
                <w:b/>
                <w:color w:val="FFFFFF"/>
                <w:sz w:val="22"/>
              </w:rPr>
              <w:t>Revenue Surprise</w:t>
            </w:r>
          </w:p>
        </w:tc>
        <w:tc>
          <w:tcPr>
            <w:tcW w:type="dxa" w:w="1080"/>
            <w:shd w:val="clear" w:color="auto" w:fill="3B4259"/>
          </w:tcPr>
          <w:p>
            <w:r>
              <w:rPr>
                <w:rFonts w:ascii="Calibri" w:hAnsi="Calibri"/>
                <w:b/>
                <w:color w:val="FFFFFF"/>
                <w:sz w:val="22"/>
              </w:rPr>
              <w:t>EPS Reported</w:t>
            </w:r>
          </w:p>
        </w:tc>
        <w:tc>
          <w:tcPr>
            <w:tcW w:type="dxa" w:w="1080"/>
            <w:shd w:val="clear" w:color="auto" w:fill="3B4259"/>
          </w:tcPr>
          <w:p>
            <w:r>
              <w:rPr>
                <w:rFonts w:ascii="Calibri" w:hAnsi="Calibri"/>
                <w:b/>
                <w:color w:val="FFFFFF"/>
                <w:sz w:val="22"/>
              </w:rPr>
              <w:t>EPS Consensus</w:t>
            </w:r>
          </w:p>
        </w:tc>
        <w:tc>
          <w:tcPr>
            <w:tcW w:type="dxa" w:w="1080"/>
            <w:shd w:val="clear" w:color="auto" w:fill="3B4259"/>
          </w:tcPr>
          <w:p>
            <w:r>
              <w:rPr>
                <w:rFonts w:ascii="Calibri" w:hAnsi="Calibri"/>
                <w:b/>
                <w:color w:val="FFFFFF"/>
                <w:sz w:val="22"/>
              </w:rPr>
              <w:t>EPS Surprise</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Q3 FY24</w:t>
            </w:r>
          </w:p>
        </w:tc>
        <w:tc>
          <w:tcPr>
            <w:tcW w:type="dxa" w:w="1080"/>
          </w:tcPr>
          <w:p>
            <w:r>
              <w:rPr>
                <w:rFonts w:ascii="Calibri" w:hAnsi="Calibri"/>
                <w:sz w:val="22"/>
              </w:rPr>
              <w:t>$85.8B</w:t>
            </w:r>
          </w:p>
        </w:tc>
        <w:tc>
          <w:tcPr>
            <w:tcW w:type="dxa" w:w="1080"/>
          </w:tcPr>
          <w:p>
            <w:r>
              <w:rPr>
                <w:rFonts w:ascii="Calibri" w:hAnsi="Calibri"/>
                <w:sz w:val="22"/>
              </w:rPr>
              <w:t>$84.4B</w:t>
            </w:r>
          </w:p>
        </w:tc>
        <w:tc>
          <w:tcPr>
            <w:tcW w:type="dxa" w:w="1080"/>
          </w:tcPr>
          <w:p>
            <w:r>
              <w:rPr>
                <w:rFonts w:ascii="Calibri" w:hAnsi="Calibri"/>
                <w:b/>
                <w:color w:val="30A46C"/>
                <w:sz w:val="22"/>
              </w:rPr>
              <w:t>+1.6%</w:t>
            </w:r>
          </w:p>
        </w:tc>
        <w:tc>
          <w:tcPr>
            <w:tcW w:type="dxa" w:w="1080"/>
          </w:tcPr>
          <w:p>
            <w:r>
              <w:rPr>
                <w:rFonts w:ascii="Calibri" w:hAnsi="Calibri"/>
                <w:sz w:val="22"/>
              </w:rPr>
              <w:t>$1.40</w:t>
            </w:r>
          </w:p>
        </w:tc>
        <w:tc>
          <w:tcPr>
            <w:tcW w:type="dxa" w:w="1080"/>
          </w:tcPr>
          <w:p>
            <w:r>
              <w:rPr>
                <w:rFonts w:ascii="Calibri" w:hAnsi="Calibri"/>
                <w:sz w:val="22"/>
              </w:rPr>
              <w:t>$1.35</w:t>
            </w:r>
          </w:p>
        </w:tc>
        <w:tc>
          <w:tcPr>
            <w:tcW w:type="dxa" w:w="1080"/>
          </w:tcPr>
          <w:p>
            <w:r>
              <w:rPr>
                <w:rFonts w:ascii="Calibri" w:hAnsi="Calibri"/>
                <w:b/>
                <w:color w:val="30A46C"/>
                <w:sz w:val="22"/>
              </w:rPr>
              <w:t>+3.7%</w:t>
            </w:r>
          </w:p>
        </w:tc>
        <w:tc>
          <w:tcPr>
            <w:tcW w:type="dxa" w:w="1080"/>
          </w:tcPr>
          <w:p>
            <w:r>
              <w:rPr>
                <w:rFonts w:ascii="Calibri" w:hAnsi="Calibri"/>
                <w:sz w:val="22"/>
              </w:rPr>
              <w:t>Beat</w:t>
            </w:r>
          </w:p>
        </w:tc>
      </w:tr>
      <w:tr>
        <w:tc>
          <w:tcPr>
            <w:tcW w:type="dxa" w:w="1080"/>
          </w:tcPr>
          <w:p>
            <w:r>
              <w:rPr>
                <w:rFonts w:ascii="Calibri" w:hAnsi="Calibri"/>
                <w:sz w:val="22"/>
              </w:rPr>
              <w:t>Q4 FY24</w:t>
            </w:r>
          </w:p>
        </w:tc>
        <w:tc>
          <w:tcPr>
            <w:tcW w:type="dxa" w:w="1080"/>
          </w:tcPr>
          <w:p>
            <w:r>
              <w:rPr>
                <w:rFonts w:ascii="Calibri" w:hAnsi="Calibri"/>
                <w:sz w:val="22"/>
              </w:rPr>
              <w:t>$94.9B</w:t>
            </w:r>
          </w:p>
        </w:tc>
        <w:tc>
          <w:tcPr>
            <w:tcW w:type="dxa" w:w="1080"/>
          </w:tcPr>
          <w:p>
            <w:r>
              <w:rPr>
                <w:rFonts w:ascii="Calibri" w:hAnsi="Calibri"/>
                <w:sz w:val="22"/>
              </w:rPr>
              <w:t>$94.4B</w:t>
            </w:r>
          </w:p>
        </w:tc>
        <w:tc>
          <w:tcPr>
            <w:tcW w:type="dxa" w:w="1080"/>
          </w:tcPr>
          <w:p>
            <w:r>
              <w:rPr>
                <w:rFonts w:ascii="Calibri" w:hAnsi="Calibri"/>
                <w:b/>
                <w:color w:val="30A46C"/>
                <w:sz w:val="22"/>
              </w:rPr>
              <w:t>+0.5%</w:t>
            </w:r>
          </w:p>
        </w:tc>
        <w:tc>
          <w:tcPr>
            <w:tcW w:type="dxa" w:w="1080"/>
          </w:tcPr>
          <w:p>
            <w:r>
              <w:rPr>
                <w:rFonts w:ascii="Calibri" w:hAnsi="Calibri"/>
                <w:sz w:val="22"/>
              </w:rPr>
              <w:t>$0.97</w:t>
            </w:r>
          </w:p>
        </w:tc>
        <w:tc>
          <w:tcPr>
            <w:tcW w:type="dxa" w:w="1080"/>
          </w:tcPr>
          <w:p>
            <w:r>
              <w:rPr>
                <w:rFonts w:ascii="Calibri" w:hAnsi="Calibri"/>
                <w:sz w:val="22"/>
              </w:rPr>
              <w:t>$1.48</w:t>
            </w:r>
          </w:p>
        </w:tc>
        <w:tc>
          <w:tcPr>
            <w:tcW w:type="dxa" w:w="1080"/>
          </w:tcPr>
          <w:p>
            <w:r>
              <w:rPr>
                <w:rFonts w:ascii="Calibri" w:hAnsi="Calibri"/>
                <w:b/>
                <w:color w:val="E5484D"/>
                <w:sz w:val="22"/>
              </w:rPr>
              <w:t>-34.5% (GAAP adj.)</w:t>
            </w:r>
          </w:p>
        </w:tc>
        <w:tc>
          <w:tcPr>
            <w:tcW w:type="dxa" w:w="1080"/>
          </w:tcPr>
          <w:p>
            <w:r>
              <w:rPr>
                <w:rFonts w:ascii="Calibri" w:hAnsi="Calibri"/>
                <w:sz w:val="22"/>
              </w:rPr>
              <w:t>Mixed</w:t>
            </w:r>
          </w:p>
        </w:tc>
      </w:tr>
      <w:tr>
        <w:tc>
          <w:tcPr>
            <w:tcW w:type="dxa" w:w="1080"/>
          </w:tcPr>
          <w:p>
            <w:r>
              <w:rPr>
                <w:rFonts w:ascii="Calibri" w:hAnsi="Calibri"/>
                <w:sz w:val="22"/>
              </w:rPr>
              <w:t>Q1 FY25</w:t>
            </w:r>
          </w:p>
        </w:tc>
        <w:tc>
          <w:tcPr>
            <w:tcW w:type="dxa" w:w="1080"/>
          </w:tcPr>
          <w:p>
            <w:r>
              <w:rPr>
                <w:rFonts w:ascii="Calibri" w:hAnsi="Calibri"/>
                <w:sz w:val="22"/>
              </w:rPr>
              <w:t>$124.3B</w:t>
            </w:r>
          </w:p>
        </w:tc>
        <w:tc>
          <w:tcPr>
            <w:tcW w:type="dxa" w:w="1080"/>
          </w:tcPr>
          <w:p>
            <w:r>
              <w:rPr>
                <w:rFonts w:ascii="Calibri" w:hAnsi="Calibri"/>
                <w:sz w:val="22"/>
              </w:rPr>
              <w:t>$124.4B</w:t>
            </w:r>
          </w:p>
        </w:tc>
        <w:tc>
          <w:tcPr>
            <w:tcW w:type="dxa" w:w="1080"/>
          </w:tcPr>
          <w:p>
            <w:r>
              <w:rPr>
                <w:rFonts w:ascii="Calibri" w:hAnsi="Calibri"/>
                <w:sz w:val="22"/>
              </w:rPr>
              <w:t>-0.1%</w:t>
            </w:r>
          </w:p>
        </w:tc>
        <w:tc>
          <w:tcPr>
            <w:tcW w:type="dxa" w:w="1080"/>
          </w:tcPr>
          <w:p>
            <w:r>
              <w:rPr>
                <w:rFonts w:ascii="Calibri" w:hAnsi="Calibri"/>
                <w:sz w:val="22"/>
              </w:rPr>
              <w:t>$2.40</w:t>
            </w:r>
          </w:p>
        </w:tc>
        <w:tc>
          <w:tcPr>
            <w:tcW w:type="dxa" w:w="1080"/>
          </w:tcPr>
          <w:p>
            <w:r>
              <w:rPr>
                <w:rFonts w:ascii="Calibri" w:hAnsi="Calibri"/>
                <w:sz w:val="22"/>
              </w:rPr>
              <w:t>$2.35</w:t>
            </w:r>
          </w:p>
        </w:tc>
        <w:tc>
          <w:tcPr>
            <w:tcW w:type="dxa" w:w="1080"/>
          </w:tcPr>
          <w:p>
            <w:r>
              <w:rPr>
                <w:rFonts w:ascii="Calibri" w:hAnsi="Calibri"/>
                <w:b/>
                <w:color w:val="30A46C"/>
                <w:sz w:val="22"/>
              </w:rPr>
              <w:t>+2.1%</w:t>
            </w:r>
          </w:p>
        </w:tc>
        <w:tc>
          <w:tcPr>
            <w:tcW w:type="dxa" w:w="1080"/>
          </w:tcPr>
          <w:p>
            <w:r>
              <w:rPr>
                <w:rFonts w:ascii="Calibri" w:hAnsi="Calibri"/>
                <w:sz w:val="22"/>
              </w:rPr>
              <w:t>In-line / Beat</w:t>
            </w:r>
          </w:p>
        </w:tc>
      </w:tr>
      <w:tr>
        <w:tc>
          <w:tcPr>
            <w:tcW w:type="dxa" w:w="1080"/>
          </w:tcPr>
          <w:p>
            <w:r>
              <w:rPr>
                <w:rFonts w:ascii="Calibri" w:hAnsi="Calibri"/>
                <w:sz w:val="22"/>
              </w:rPr>
              <w:t>Q2 FY25</w:t>
            </w:r>
          </w:p>
        </w:tc>
        <w:tc>
          <w:tcPr>
            <w:tcW w:type="dxa" w:w="1080"/>
          </w:tcPr>
          <w:p>
            <w:r>
              <w:rPr>
                <w:rFonts w:ascii="Calibri" w:hAnsi="Calibri"/>
                <w:sz w:val="22"/>
              </w:rPr>
              <w:t>$95.4B</w:t>
            </w:r>
          </w:p>
        </w:tc>
        <w:tc>
          <w:tcPr>
            <w:tcW w:type="dxa" w:w="1080"/>
          </w:tcPr>
          <w:p>
            <w:r>
              <w:rPr>
                <w:rFonts w:ascii="Calibri" w:hAnsi="Calibri"/>
                <w:sz w:val="22"/>
              </w:rPr>
              <w:t>$94.7B</w:t>
            </w:r>
          </w:p>
        </w:tc>
        <w:tc>
          <w:tcPr>
            <w:tcW w:type="dxa" w:w="1080"/>
          </w:tcPr>
          <w:p>
            <w:r>
              <w:rPr>
                <w:rFonts w:ascii="Calibri" w:hAnsi="Calibri"/>
                <w:b/>
                <w:color w:val="30A46C"/>
                <w:sz w:val="22"/>
              </w:rPr>
              <w:t>+0.7%</w:t>
            </w:r>
          </w:p>
        </w:tc>
        <w:tc>
          <w:tcPr>
            <w:tcW w:type="dxa" w:w="1080"/>
          </w:tcPr>
          <w:p>
            <w:r>
              <w:rPr>
                <w:rFonts w:ascii="Calibri" w:hAnsi="Calibri"/>
                <w:sz w:val="22"/>
              </w:rPr>
              <w:t>$1.65</w:t>
            </w:r>
          </w:p>
        </w:tc>
        <w:tc>
          <w:tcPr>
            <w:tcW w:type="dxa" w:w="1080"/>
          </w:tcPr>
          <w:p>
            <w:r>
              <w:rPr>
                <w:rFonts w:ascii="Calibri" w:hAnsi="Calibri"/>
                <w:sz w:val="22"/>
              </w:rPr>
              <w:t>$1.63</w:t>
            </w:r>
          </w:p>
        </w:tc>
        <w:tc>
          <w:tcPr>
            <w:tcW w:type="dxa" w:w="1080"/>
          </w:tcPr>
          <w:p>
            <w:r>
              <w:rPr>
                <w:rFonts w:ascii="Calibri" w:hAnsi="Calibri"/>
                <w:b/>
                <w:color w:val="30A46C"/>
                <w:sz w:val="22"/>
              </w:rPr>
              <w:t>+1.2%</w:t>
            </w:r>
          </w:p>
        </w:tc>
        <w:tc>
          <w:tcPr>
            <w:tcW w:type="dxa" w:w="1080"/>
          </w:tcPr>
          <w:p>
            <w:r>
              <w:rPr>
                <w:rFonts w:ascii="Calibri" w:hAnsi="Calibri"/>
                <w:sz w:val="22"/>
              </w:rPr>
              <w:t>Beat</w:t>
            </w:r>
          </w:p>
        </w:tc>
      </w:tr>
      <w:tr>
        <w:tc>
          <w:tcPr>
            <w:tcW w:type="dxa" w:w="1080"/>
          </w:tcPr>
          <w:p>
            <w:r>
              <w:rPr>
                <w:rFonts w:ascii="Calibri" w:hAnsi="Calibri"/>
                <w:sz w:val="22"/>
              </w:rPr>
              <w:t>Q3 FY25</w:t>
            </w:r>
          </w:p>
        </w:tc>
        <w:tc>
          <w:tcPr>
            <w:tcW w:type="dxa" w:w="1080"/>
          </w:tcPr>
          <w:p>
            <w:r>
              <w:rPr>
                <w:rFonts w:ascii="Calibri" w:hAnsi="Calibri"/>
                <w:sz w:val="22"/>
              </w:rPr>
              <w:t>$94.0B</w:t>
            </w:r>
          </w:p>
        </w:tc>
        <w:tc>
          <w:tcPr>
            <w:tcW w:type="dxa" w:w="1080"/>
          </w:tcPr>
          <w:p>
            <w:r>
              <w:rPr>
                <w:rFonts w:ascii="Calibri" w:hAnsi="Calibri"/>
                <w:sz w:val="22"/>
              </w:rPr>
              <w:t>$89.5B</w:t>
            </w:r>
          </w:p>
        </w:tc>
        <w:tc>
          <w:tcPr>
            <w:tcW w:type="dxa" w:w="1080"/>
          </w:tcPr>
          <w:p>
            <w:r>
              <w:rPr>
                <w:rFonts w:ascii="Calibri" w:hAnsi="Calibri"/>
                <w:b/>
                <w:color w:val="30A46C"/>
                <w:sz w:val="22"/>
              </w:rPr>
              <w:t>+5.0%</w:t>
            </w:r>
          </w:p>
        </w:tc>
        <w:tc>
          <w:tcPr>
            <w:tcW w:type="dxa" w:w="1080"/>
          </w:tcPr>
          <w:p>
            <w:r>
              <w:rPr>
                <w:rFonts w:ascii="Calibri" w:hAnsi="Calibri"/>
                <w:sz w:val="22"/>
              </w:rPr>
              <w:t>$1.57</w:t>
            </w:r>
          </w:p>
        </w:tc>
        <w:tc>
          <w:tcPr>
            <w:tcW w:type="dxa" w:w="1080"/>
          </w:tcPr>
          <w:p>
            <w:r>
              <w:rPr>
                <w:rFonts w:ascii="Calibri" w:hAnsi="Calibri"/>
                <w:sz w:val="22"/>
              </w:rPr>
              <w:t>$1.44</w:t>
            </w:r>
          </w:p>
        </w:tc>
        <w:tc>
          <w:tcPr>
            <w:tcW w:type="dxa" w:w="1080"/>
          </w:tcPr>
          <w:p>
            <w:r>
              <w:rPr>
                <w:rFonts w:ascii="Calibri" w:hAnsi="Calibri"/>
                <w:b/>
                <w:color w:val="30A46C"/>
                <w:sz w:val="22"/>
              </w:rPr>
              <w:t>+9.0%</w:t>
            </w:r>
          </w:p>
        </w:tc>
        <w:tc>
          <w:tcPr>
            <w:tcW w:type="dxa" w:w="1080"/>
          </w:tcPr>
          <w:p>
            <w:r>
              <w:rPr>
                <w:rFonts w:ascii="Calibri" w:hAnsi="Calibri"/>
                <w:sz w:val="22"/>
              </w:rPr>
              <w:t>Beat</w:t>
            </w:r>
          </w:p>
        </w:tc>
      </w:tr>
      <w:tr>
        <w:tc>
          <w:tcPr>
            <w:tcW w:type="dxa" w:w="1080"/>
          </w:tcPr>
          <w:p>
            <w:r>
              <w:rPr>
                <w:rFonts w:ascii="Calibri" w:hAnsi="Calibri"/>
                <w:sz w:val="22"/>
              </w:rPr>
              <w:t>Q4 FY25</w:t>
            </w:r>
          </w:p>
        </w:tc>
        <w:tc>
          <w:tcPr>
            <w:tcW w:type="dxa" w:w="1080"/>
          </w:tcPr>
          <w:p>
            <w:r>
              <w:rPr>
                <w:rFonts w:ascii="Calibri" w:hAnsi="Calibri"/>
                <w:sz w:val="22"/>
              </w:rPr>
              <w:t>$102.5B</w:t>
            </w:r>
          </w:p>
        </w:tc>
        <w:tc>
          <w:tcPr>
            <w:tcW w:type="dxa" w:w="1080"/>
          </w:tcPr>
          <w:p>
            <w:r>
              <w:rPr>
                <w:rFonts w:ascii="Calibri" w:hAnsi="Calibri"/>
                <w:sz w:val="22"/>
              </w:rPr>
              <w:t>$101.7B</w:t>
            </w:r>
          </w:p>
        </w:tc>
        <w:tc>
          <w:tcPr>
            <w:tcW w:type="dxa" w:w="1080"/>
          </w:tcPr>
          <w:p>
            <w:r>
              <w:rPr>
                <w:rFonts w:ascii="Calibri" w:hAnsi="Calibri"/>
                <w:b/>
                <w:color w:val="30A46C"/>
                <w:sz w:val="22"/>
              </w:rPr>
              <w:t>+0.8%</w:t>
            </w:r>
          </w:p>
        </w:tc>
        <w:tc>
          <w:tcPr>
            <w:tcW w:type="dxa" w:w="1080"/>
          </w:tcPr>
          <w:p>
            <w:r>
              <w:rPr>
                <w:rFonts w:ascii="Calibri" w:hAnsi="Calibri"/>
                <w:sz w:val="22"/>
              </w:rPr>
              <w:t>$1.85</w:t>
            </w:r>
          </w:p>
        </w:tc>
        <w:tc>
          <w:tcPr>
            <w:tcW w:type="dxa" w:w="1080"/>
          </w:tcPr>
          <w:p>
            <w:r>
              <w:rPr>
                <w:rFonts w:ascii="Calibri" w:hAnsi="Calibri"/>
                <w:sz w:val="22"/>
              </w:rPr>
              <w:t>$1.77</w:t>
            </w:r>
          </w:p>
        </w:tc>
        <w:tc>
          <w:tcPr>
            <w:tcW w:type="dxa" w:w="1080"/>
          </w:tcPr>
          <w:p>
            <w:r>
              <w:rPr>
                <w:rFonts w:ascii="Calibri" w:hAnsi="Calibri"/>
                <w:b/>
                <w:color w:val="30A46C"/>
                <w:sz w:val="22"/>
              </w:rPr>
              <w:t>+4.5%</w:t>
            </w:r>
          </w:p>
        </w:tc>
        <w:tc>
          <w:tcPr>
            <w:tcW w:type="dxa" w:w="1080"/>
          </w:tcPr>
          <w:p>
            <w:r>
              <w:rPr>
                <w:rFonts w:ascii="Calibri" w:hAnsi="Calibri"/>
                <w:sz w:val="22"/>
              </w:rPr>
              <w:t>Beat</w:t>
            </w:r>
          </w:p>
        </w:tc>
      </w:tr>
      <w:tr>
        <w:tc>
          <w:tcPr>
            <w:tcW w:type="dxa" w:w="1080"/>
          </w:tcPr>
          <w:p>
            <w:r>
              <w:rPr>
                <w:rFonts w:ascii="Calibri" w:hAnsi="Calibri"/>
                <w:sz w:val="22"/>
              </w:rPr>
              <w:t>Q1 FY26</w:t>
            </w:r>
          </w:p>
        </w:tc>
        <w:tc>
          <w:tcPr>
            <w:tcW w:type="dxa" w:w="1080"/>
          </w:tcPr>
          <w:p>
            <w:r>
              <w:rPr>
                <w:rFonts w:ascii="Calibri" w:hAnsi="Calibri"/>
                <w:sz w:val="22"/>
              </w:rPr>
              <w:t>$143.8B</w:t>
            </w:r>
          </w:p>
        </w:tc>
        <w:tc>
          <w:tcPr>
            <w:tcW w:type="dxa" w:w="1080"/>
          </w:tcPr>
          <w:p>
            <w:r>
              <w:rPr>
                <w:rFonts w:ascii="Calibri" w:hAnsi="Calibri"/>
                <w:sz w:val="22"/>
              </w:rPr>
              <w:t>$138.1B</w:t>
            </w:r>
          </w:p>
        </w:tc>
        <w:tc>
          <w:tcPr>
            <w:tcW w:type="dxa" w:w="1080"/>
          </w:tcPr>
          <w:p>
            <w:r>
              <w:rPr>
                <w:rFonts w:ascii="Calibri" w:hAnsi="Calibri"/>
                <w:b/>
                <w:color w:val="30A46C"/>
                <w:sz w:val="22"/>
              </w:rPr>
              <w:t>+4.1%</w:t>
            </w:r>
          </w:p>
        </w:tc>
        <w:tc>
          <w:tcPr>
            <w:tcW w:type="dxa" w:w="1080"/>
          </w:tcPr>
          <w:p>
            <w:r>
              <w:rPr>
                <w:rFonts w:ascii="Calibri" w:hAnsi="Calibri"/>
                <w:sz w:val="22"/>
              </w:rPr>
              <w:t>$2.84</w:t>
            </w:r>
          </w:p>
        </w:tc>
        <w:tc>
          <w:tcPr>
            <w:tcW w:type="dxa" w:w="1080"/>
          </w:tcPr>
          <w:p>
            <w:r>
              <w:rPr>
                <w:rFonts w:ascii="Calibri" w:hAnsi="Calibri"/>
                <w:sz w:val="22"/>
              </w:rPr>
              <w:t>$2.67</w:t>
            </w:r>
          </w:p>
        </w:tc>
        <w:tc>
          <w:tcPr>
            <w:tcW w:type="dxa" w:w="1080"/>
          </w:tcPr>
          <w:p>
            <w:r>
              <w:rPr>
                <w:rFonts w:ascii="Calibri" w:hAnsi="Calibri"/>
                <w:b/>
                <w:color w:val="30A46C"/>
                <w:sz w:val="22"/>
              </w:rPr>
              <w:t>+6.4%</w:t>
            </w:r>
          </w:p>
        </w:tc>
        <w:tc>
          <w:tcPr>
            <w:tcW w:type="dxa" w:w="1080"/>
          </w:tcPr>
          <w:p>
            <w:r>
              <w:rPr>
                <w:rFonts w:ascii="Calibri" w:hAnsi="Calibri"/>
                <w:sz w:val="22"/>
              </w:rPr>
              <w:t>Beat</w:t>
            </w:r>
          </w:p>
        </w:tc>
      </w:tr>
      <w:tr>
        <w:tc>
          <w:tcPr>
            <w:tcW w:type="dxa" w:w="1080"/>
          </w:tcPr>
          <w:p>
            <w:r>
              <w:rPr>
                <w:rFonts w:ascii="Calibri" w:hAnsi="Calibri"/>
                <w:sz w:val="22"/>
              </w:rPr>
              <w:t>Q2 FY26</w:t>
            </w:r>
          </w:p>
        </w:tc>
        <w:tc>
          <w:tcPr>
            <w:tcW w:type="dxa" w:w="1080"/>
          </w:tcPr>
          <w:p>
            <w:r>
              <w:rPr>
                <w:rFonts w:ascii="Calibri" w:hAnsi="Calibri"/>
                <w:sz w:val="22"/>
              </w:rPr>
              <w:t>$111.2B</w:t>
            </w:r>
          </w:p>
        </w:tc>
        <w:tc>
          <w:tcPr>
            <w:tcW w:type="dxa" w:w="1080"/>
          </w:tcPr>
          <w:p>
            <w:r>
              <w:rPr>
                <w:rFonts w:ascii="Calibri" w:hAnsi="Calibri"/>
                <w:sz w:val="22"/>
              </w:rPr>
              <w:t>$109.3B</w:t>
            </w:r>
          </w:p>
        </w:tc>
        <w:tc>
          <w:tcPr>
            <w:tcW w:type="dxa" w:w="1080"/>
          </w:tcPr>
          <w:p>
            <w:r>
              <w:rPr>
                <w:rFonts w:ascii="Calibri" w:hAnsi="Calibri"/>
                <w:b/>
                <w:color w:val="30A46C"/>
                <w:sz w:val="22"/>
              </w:rPr>
              <w:t>+1.7%</w:t>
            </w:r>
          </w:p>
        </w:tc>
        <w:tc>
          <w:tcPr>
            <w:tcW w:type="dxa" w:w="1080"/>
          </w:tcPr>
          <w:p>
            <w:r>
              <w:rPr>
                <w:rFonts w:ascii="Calibri" w:hAnsi="Calibri"/>
                <w:sz w:val="22"/>
              </w:rPr>
              <w:t>$2.01</w:t>
            </w:r>
          </w:p>
        </w:tc>
        <w:tc>
          <w:tcPr>
            <w:tcW w:type="dxa" w:w="1080"/>
          </w:tcPr>
          <w:p>
            <w:r>
              <w:rPr>
                <w:rFonts w:ascii="Calibri" w:hAnsi="Calibri"/>
                <w:sz w:val="22"/>
              </w:rPr>
              <w:t>$1.94</w:t>
            </w:r>
          </w:p>
        </w:tc>
        <w:tc>
          <w:tcPr>
            <w:tcW w:type="dxa" w:w="1080"/>
          </w:tcPr>
          <w:p>
            <w:r>
              <w:rPr>
                <w:rFonts w:ascii="Calibri" w:hAnsi="Calibri"/>
                <w:b/>
                <w:color w:val="30A46C"/>
                <w:sz w:val="22"/>
              </w:rPr>
              <w:t>+3.6%</w:t>
            </w:r>
          </w:p>
        </w:tc>
        <w:tc>
          <w:tcPr>
            <w:tcW w:type="dxa" w:w="1080"/>
          </w:tcPr>
          <w:p>
            <w:r>
              <w:rPr>
                <w:rFonts w:ascii="Calibri" w:hAnsi="Calibri"/>
                <w:sz w:val="22"/>
              </w:rPr>
              <w:t>Beat</w:t>
            </w:r>
          </w:p>
        </w:tc>
      </w:tr>
    </w:tbl>
    <w:p>
      <w:r>
        <w:rPr>
          <w:rFonts w:ascii="Calibri" w:hAnsi="Calibri"/>
          <w:i/>
          <w:color w:val="525866"/>
          <w:sz w:val="22"/>
        </w:rPr>
        <w:t>AAPL has beaten revenue consensus in 7 of the last 8 quarters and EPS in 7 of 8 (Q4 FY24 EPS miss reflects GAAP vs. non-GAAP timing differences). The pattern of consistent, modest beats suggests management guides conservatively — the 14–17% revenue growth guidance for Q3 FY26 likely has a similar cushion built in.</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b/>
          <w:color w:val="525866"/>
          <w:sz w:val="22"/>
        </w:rPr>
        <w:t xml:space="preserve">Management's Q3 FY26 guidance is unchanged since the April 30 earnings call — no post-earnings 8-K or conference update has revised the numbers. The tone on </w:t>
      </w:r>
      <w:r>
        <w:rPr>
          <w:rFonts w:ascii="Calibri" w:hAnsi="Calibri"/>
          <w:b/>
          <w:color w:val="525866"/>
          <w:sz w:val="22"/>
        </w:rPr>
        <w:t>memory costs has become the dominant forward risk</w:t>
      </w:r>
      <w:r>
        <w:rPr>
          <w:rFonts w:ascii="Calibri" w:hAnsi="Calibri"/>
          <w:b/>
          <w:color w:val="525866"/>
          <w:sz w:val="22"/>
        </w:rPr>
        <w:t>, with management explicitly flagging an "increasing impact" beyond June with no resolution timeline.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(April 30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Revenue Growth (YoY)</w:t>
            </w:r>
          </w:p>
        </w:tc>
        <w:tc>
          <w:tcPr>
            <w:tcW w:type="dxa" w:w="1728"/>
          </w:tcPr>
          <w:p>
            <w:r>
              <w:rPr>
                <w:rFonts w:ascii="Calibri" w:hAnsi="Calibri"/>
                <w:sz w:val="22"/>
              </w:rPr>
              <w:t>+14% to +17%</w:t>
            </w:r>
          </w:p>
        </w:tc>
        <w:tc>
          <w:tcPr>
            <w:tcW w:type="dxa" w:w="1728"/>
          </w:tcPr>
          <w:p>
            <w:r>
              <w:rPr>
                <w:rFonts w:ascii="Calibri" w:hAnsi="Calibri"/>
                <w:sz w:val="22"/>
              </w:rPr>
              <w:t>—</w:t>
            </w:r>
          </w:p>
        </w:tc>
        <w:tc>
          <w:tcPr>
            <w:tcW w:type="dxa" w:w="1728"/>
          </w:tcPr>
          <w:p>
            <w:r>
              <w:rPr>
                <w:rFonts w:ascii="Calibri" w:hAnsi="Calibri"/>
                <w:sz w:val="22"/>
              </w:rPr>
              <w:t>~+15.1% ($108.2B)</w:t>
            </w:r>
          </w:p>
        </w:tc>
        <w:tc>
          <w:tcPr>
            <w:tcW w:type="dxa" w:w="1728"/>
          </w:tcPr>
          <w:p>
            <w:r>
              <w:rPr>
                <w:rFonts w:ascii="Calibri" w:hAnsi="Calibri"/>
                <w:sz w:val="22"/>
              </w:rPr>
              <w:t>Consensus at midpoint; no post-earnings revision</w:t>
            </w:r>
          </w:p>
        </w:tc>
      </w:tr>
      <w:tr>
        <w:tc>
          <w:tcPr>
            <w:tcW w:type="dxa" w:w="1728"/>
          </w:tcPr>
          <w:p>
            <w:r>
              <w:rPr>
                <w:rFonts w:ascii="Calibri" w:hAnsi="Calibri"/>
                <w:sz w:val="22"/>
              </w:rPr>
              <w:t>Gross Margin</w:t>
            </w:r>
          </w:p>
        </w:tc>
        <w:tc>
          <w:tcPr>
            <w:tcW w:type="dxa" w:w="1728"/>
          </w:tcPr>
          <w:p>
            <w:r>
              <w:rPr>
                <w:rFonts w:ascii="Calibri" w:hAnsi="Calibri"/>
                <w:sz w:val="22"/>
              </w:rPr>
              <w:t>47.5%–48.5%</w:t>
            </w:r>
          </w:p>
        </w:tc>
        <w:tc>
          <w:tcPr>
            <w:tcW w:type="dxa" w:w="1728"/>
          </w:tcPr>
          <w:p>
            <w:r>
              <w:rPr>
                <w:rFonts w:ascii="Calibri" w:hAnsi="Calibri"/>
                <w:sz w:val="22"/>
              </w:rPr>
              <w:t>—</w:t>
            </w:r>
          </w:p>
        </w:tc>
        <w:tc>
          <w:tcPr>
            <w:tcW w:type="dxa" w:w="1728"/>
          </w:tcPr>
          <w:p>
            <w:r>
              <w:rPr>
                <w:rFonts w:ascii="Calibri" w:hAnsi="Calibri"/>
                <w:sz w:val="22"/>
              </w:rPr>
              <w:t>~48.0%</w:t>
            </w:r>
          </w:p>
        </w:tc>
        <w:tc>
          <w:tcPr>
            <w:tcW w:type="dxa" w:w="1728"/>
          </w:tcPr>
          <w:p>
            <w:r>
              <w:rPr>
                <w:rFonts w:ascii="Calibri" w:hAnsi="Calibri"/>
                <w:sz w:val="22"/>
              </w:rPr>
              <w:t>Consensus at midpoint; memory cost headwind acknowledged</w:t>
            </w:r>
          </w:p>
        </w:tc>
      </w:tr>
      <w:tr>
        <w:tc>
          <w:tcPr>
            <w:tcW w:type="dxa" w:w="1728"/>
          </w:tcPr>
          <w:p>
            <w:r>
              <w:rPr>
                <w:rFonts w:ascii="Calibri" w:hAnsi="Calibri"/>
                <w:sz w:val="22"/>
              </w:rPr>
              <w:t>Operating Expenses</w:t>
            </w:r>
          </w:p>
        </w:tc>
        <w:tc>
          <w:tcPr>
            <w:tcW w:type="dxa" w:w="1728"/>
          </w:tcPr>
          <w:p>
            <w:r>
              <w:rPr>
                <w:rFonts w:ascii="Calibri" w:hAnsi="Calibri"/>
                <w:sz w:val="22"/>
              </w:rPr>
              <w:t>$18.8B–$19.1B</w:t>
            </w:r>
          </w:p>
        </w:tc>
        <w:tc>
          <w:tcPr>
            <w:tcW w:type="dxa" w:w="1728"/>
          </w:tcPr>
          <w:p>
            <w:r>
              <w:rPr>
                <w:rFonts w:ascii="Calibri" w:hAnsi="Calibri"/>
                <w:sz w:val="22"/>
              </w:rPr>
              <w:t>—</w:t>
            </w:r>
          </w:p>
        </w:tc>
        <w:tc>
          <w:tcPr>
            <w:tcW w:type="dxa" w:w="1728"/>
          </w:tcPr>
          <w:p>
            <w:r>
              <w:rPr>
                <w:rFonts w:ascii="Calibri" w:hAnsi="Calibri"/>
                <w:sz w:val="22"/>
              </w:rPr>
              <w:t>~$18.9B</w:t>
            </w:r>
          </w:p>
        </w:tc>
        <w:tc>
          <w:tcPr>
            <w:tcW w:type="dxa" w:w="1728"/>
          </w:tcPr>
          <w:p>
            <w:r>
              <w:rPr>
                <w:rFonts w:ascii="Calibri" w:hAnsi="Calibri"/>
                <w:sz w:val="22"/>
              </w:rPr>
              <w:t>Consistent with guidance midpoint</w:t>
            </w:r>
          </w:p>
        </w:tc>
      </w:tr>
      <w:tr>
        <w:tc>
          <w:tcPr>
            <w:tcW w:type="dxa" w:w="1728"/>
          </w:tcPr>
          <w:p>
            <w:r>
              <w:rPr>
                <w:rFonts w:ascii="Calibri" w:hAnsi="Calibri"/>
                <w:sz w:val="22"/>
              </w:rPr>
              <w:t>Services Growth</w:t>
            </w:r>
          </w:p>
        </w:tc>
        <w:tc>
          <w:tcPr>
            <w:tcW w:type="dxa" w:w="1728"/>
          </w:tcPr>
          <w:p>
            <w:r>
              <w:rPr>
                <w:rFonts w:ascii="Calibri" w:hAnsi="Calibri"/>
                <w:sz w:val="22"/>
              </w:rPr>
              <w:t>~Similar to Q2 ex-FX (~13–14%)</w:t>
            </w:r>
          </w:p>
        </w:tc>
        <w:tc>
          <w:tcPr>
            <w:tcW w:type="dxa" w:w="1728"/>
          </w:tcPr>
          <w:p>
            <w:r>
              <w:rPr>
                <w:rFonts w:ascii="Calibri" w:hAnsi="Calibri"/>
                <w:sz w:val="22"/>
              </w:rPr>
              <w:t>—</w:t>
            </w:r>
          </w:p>
        </w:tc>
        <w:tc>
          <w:tcPr>
            <w:tcW w:type="dxa" w:w="1728"/>
          </w:tcPr>
          <w:p>
            <w:r>
              <w:rPr>
                <w:rFonts w:ascii="Calibri" w:hAnsi="Calibri"/>
                <w:sz w:val="22"/>
              </w:rPr>
              <w:t>~+14.5%</w:t>
            </w:r>
          </w:p>
        </w:tc>
        <w:tc>
          <w:tcPr>
            <w:tcW w:type="dxa" w:w="1728"/>
          </w:tcPr>
          <w:p>
            <w:r>
              <w:rPr>
                <w:rFonts w:ascii="Calibri" w:hAnsi="Calibri"/>
                <w:sz w:val="22"/>
              </w:rPr>
              <w:t>Consensus slightly above implied guidance ex-FX</w:t>
            </w:r>
          </w:p>
        </w:tc>
      </w:tr>
      <w:tr>
        <w:tc>
          <w:tcPr>
            <w:tcW w:type="dxa" w:w="1728"/>
          </w:tcPr>
          <w:p>
            <w:r>
              <w:rPr>
                <w:rFonts w:ascii="Calibri" w:hAnsi="Calibri"/>
                <w:sz w:val="22"/>
              </w:rPr>
              <w:t>Memory Cost Impact</w:t>
            </w:r>
          </w:p>
        </w:tc>
        <w:tc>
          <w:tcPr>
            <w:tcW w:type="dxa" w:w="1728"/>
          </w:tcPr>
          <w:p>
            <w:r>
              <w:rPr>
                <w:rFonts w:ascii="Calibri" w:hAnsi="Calibri"/>
                <w:sz w:val="22"/>
              </w:rPr>
              <w:t>"Significantly higher" in Q3; "increasing impact" beyond</w:t>
            </w:r>
          </w:p>
        </w:tc>
        <w:tc>
          <w:tcPr>
            <w:tcW w:type="dxa" w:w="1728"/>
          </w:tcPr>
          <w:p>
            <w:r>
              <w:rPr>
                <w:rFonts w:ascii="Calibri" w:hAnsi="Calibri"/>
                <w:sz w:val="22"/>
              </w:rPr>
              <w:t>—</w:t>
            </w:r>
          </w:p>
        </w:tc>
        <w:tc>
          <w:tcPr>
            <w:tcW w:type="dxa" w:w="1728"/>
          </w:tcPr>
          <w:p>
            <w:r>
              <w:rPr>
                <w:rFonts w:ascii="Calibri" w:hAnsi="Calibri"/>
                <w:sz w:val="22"/>
              </w:rPr>
              <w:t>Embedded in GM guide</w:t>
            </w:r>
          </w:p>
        </w:tc>
        <w:tc>
          <w:tcPr>
            <w:tcW w:type="dxa" w:w="1728"/>
          </w:tcPr>
          <w:p>
            <w:r>
              <w:rPr>
                <w:rFonts w:ascii="Calibri" w:hAnsi="Calibri"/>
                <w:sz w:val="22"/>
              </w:rPr>
              <w:t>Key risk: no timeline given for resolution</w:t>
            </w:r>
          </w:p>
        </w:tc>
      </w:tr>
      <w:tr>
        <w:tc>
          <w:tcPr>
            <w:tcW w:type="dxa" w:w="1728"/>
          </w:tcPr>
          <w:p>
            <w:r>
              <w:rPr>
                <w:rFonts w:ascii="Calibri" w:hAnsi="Calibri"/>
                <w:sz w:val="22"/>
              </w:rPr>
              <w:t>Tax Rate</w:t>
            </w:r>
          </w:p>
        </w:tc>
        <w:tc>
          <w:tcPr>
            <w:tcW w:type="dxa" w:w="1728"/>
          </w:tcPr>
          <w:p>
            <w:r>
              <w:rPr>
                <w:rFonts w:ascii="Calibri" w:hAnsi="Calibri"/>
                <w:sz w:val="22"/>
              </w:rPr>
              <w:t>~17%</w:t>
            </w:r>
          </w:p>
        </w:tc>
        <w:tc>
          <w:tcPr>
            <w:tcW w:type="dxa" w:w="1728"/>
          </w:tcPr>
          <w:p>
            <w:r>
              <w:rPr>
                <w:rFonts w:ascii="Calibri" w:hAnsi="Calibri"/>
                <w:sz w:val="22"/>
              </w:rPr>
              <w:t>—</w:t>
            </w:r>
          </w:p>
        </w:tc>
        <w:tc>
          <w:tcPr>
            <w:tcW w:type="dxa" w:w="1728"/>
          </w:tcPr>
          <w:p>
            <w:r>
              <w:rPr>
                <w:rFonts w:ascii="Calibri" w:hAnsi="Calibri"/>
                <w:sz w:val="22"/>
              </w:rPr>
              <w:t>~17%</w:t>
            </w:r>
          </w:p>
        </w:tc>
        <w:tc>
          <w:tcPr>
            <w:tcW w:type="dxa" w:w="1728"/>
          </w:tcPr>
          <w:p>
            <w:r>
              <w:rPr>
                <w:rFonts w:ascii="Calibri" w:hAnsi="Calibri"/>
                <w:sz w:val="22"/>
              </w:rPr>
              <w:t>Unchanged</w:t>
            </w:r>
          </w:p>
        </w:tc>
      </w:tr>
      <w:tr>
        <w:tc>
          <w:tcPr>
            <w:tcW w:type="dxa" w:w="1728"/>
          </w:tcPr>
          <w:p>
            <w:r>
              <w:rPr>
                <w:rFonts w:ascii="Calibri" w:hAnsi="Calibri"/>
                <w:sz w:val="22"/>
              </w:rPr>
              <w:t>OI&amp;E</w:t>
            </w:r>
          </w:p>
        </w:tc>
        <w:tc>
          <w:tcPr>
            <w:tcW w:type="dxa" w:w="1728"/>
          </w:tcPr>
          <w:p>
            <w:r>
              <w:rPr>
                <w:rFonts w:ascii="Calibri" w:hAnsi="Calibri"/>
                <w:sz w:val="22"/>
              </w:rPr>
              <w:t>~$250M</w:t>
            </w:r>
          </w:p>
        </w:tc>
        <w:tc>
          <w:tcPr>
            <w:tcW w:type="dxa" w:w="1728"/>
          </w:tcPr>
          <w:p>
            <w:r>
              <w:rPr>
                <w:rFonts w:ascii="Calibri" w:hAnsi="Calibri"/>
                <w:sz w:val="22"/>
              </w:rPr>
              <w:t>—</w:t>
            </w:r>
          </w:p>
        </w:tc>
        <w:tc>
          <w:tcPr>
            <w:tcW w:type="dxa" w:w="1728"/>
          </w:tcPr>
          <w:p>
            <w:r>
              <w:rPr>
                <w:rFonts w:ascii="Calibri" w:hAnsi="Calibri"/>
                <w:sz w:val="22"/>
              </w:rPr>
              <w:t>~$250M</w:t>
            </w:r>
          </w:p>
        </w:tc>
        <w:tc>
          <w:tcPr>
            <w:tcW w:type="dxa" w:w="1728"/>
          </w:tcPr>
          <w:p>
            <w:r>
              <w:rPr>
                <w:rFonts w:ascii="Calibri" w:hAnsi="Calibri"/>
                <w:sz w:val="22"/>
              </w:rPr>
              <w:t>Unchanged</w:t>
            </w:r>
          </w:p>
        </w:tc>
      </w:tr>
    </w:tbl>
    <w:p>
      <w:r>
        <w:rPr>
          <w:rFonts w:ascii="Calibri" w:hAnsi="Calibri"/>
          <w:i/>
          <w:color w:val="525866"/>
          <w:sz w:val="22"/>
        </w:rPr>
        <w:t xml:space="preserve">Note: </w:t>
      </w:r>
      <w:r>
        <w:rPr>
          <w:rFonts w:ascii="Calibri" w:hAnsi="Calibri"/>
          <w:i/>
          <w:color w:val="525866"/>
          <w:sz w:val="22"/>
        </w:rPr>
        <w:t>Guidance assumes global tariff rates and policies remain as of April 30, 2026, and that the global macroeconomic outlook does not worsen. Apple has not provided any post-earnings guidance updates via 8-K or conference appearances.</w:t>
      </w:r>
    </w:p>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b/>
          <w:color w:val="525866"/>
          <w:sz w:val="22"/>
        </w:rPr>
        <w:t xml:space="preserve">Estimates for Q3 FY26 have been broadly stable since the April 30 print, with revenue and EPS tracking inside guidance. The more meaningful revision story is in </w:t>
      </w:r>
      <w:r>
        <w:rPr>
          <w:rFonts w:ascii="Calibri" w:hAnsi="Calibri"/>
          <w:b/>
          <w:color w:val="525866"/>
          <w:sz w:val="22"/>
        </w:rPr>
        <w:t>FY26 full-year estimates</w:t>
      </w:r>
      <w:r>
        <w:rPr>
          <w:rFonts w:ascii="Calibri" w:hAnsi="Calibri"/>
          <w:b/>
          <w:color w:val="525866"/>
          <w:sz w:val="22"/>
        </w:rPr>
        <w:t xml:space="preserve">, which have moved modestly higher on the back of the strong Q1 and Q2 beats. </w:t>
      </w:r>
      <w:r>
        <w:rPr>
          <w:rFonts w:ascii="Calibri" w:hAnsi="Calibri"/>
          <w:b/>
          <w:color w:val="525866"/>
          <w:sz w:val="22"/>
        </w:rPr>
        <w:t>Memory cost risk beyond June is the primary downside catalyst for FY27 estimates.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(May 5, 2026 — Post-Earnings Baseline)</w:t>
            </w:r>
          </w:p>
        </w:tc>
        <w:tc>
          <w:tcPr>
            <w:tcW w:type="dxa" w:w="1080"/>
            <w:shd w:val="clear" w:color="auto" w:fill="3B4259"/>
          </w:tcPr>
          <w:p>
            <w:r>
              <w:rPr>
                <w:rFonts w:ascii="Calibri" w:hAnsi="Calibri"/>
                <w:b/>
                <w:color w:val="FFFFFF"/>
                <w:sz w:val="22"/>
              </w:rPr>
              <w:t>Current Consensus (July 29, 2026)</w:t>
            </w:r>
          </w:p>
        </w:tc>
        <w:tc>
          <w:tcPr>
            <w:tcW w:type="dxa" w:w="1080"/>
            <w:shd w:val="clear" w:color="auto" w:fill="3B4259"/>
          </w:tcPr>
          <w:p>
            <w:r>
              <w:rPr>
                <w:rFonts w:ascii="Calibri" w:hAnsi="Calibri"/>
                <w:b/>
                <w:color w:val="FFFFFF"/>
                <w:sz w:val="22"/>
              </w:rPr>
              <w:t>Estimate Delta (%)</w:t>
            </w:r>
          </w:p>
        </w:tc>
        <w:tc>
          <w:tcPr>
            <w:tcW w:type="dxa" w:w="1080"/>
            <w:shd w:val="clear" w:color="auto" w:fill="3B4259"/>
          </w:tcPr>
          <w:p>
            <w:r>
              <w:rPr>
                <w:rFonts w:ascii="Calibri" w:hAnsi="Calibri"/>
                <w:b/>
                <w:color w:val="FFFFFF"/>
                <w:sz w:val="22"/>
              </w:rPr>
              <w:t>Initial Guidance (April 30)</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Delta</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Total Revenue — Q3 FY26</w:t>
            </w:r>
          </w:p>
        </w:tc>
        <w:tc>
          <w:tcPr>
            <w:tcW w:type="dxa" w:w="1080"/>
          </w:tcPr>
          <w:p>
            <w:r>
              <w:rPr>
                <w:rFonts w:ascii="Calibri" w:hAnsi="Calibri"/>
                <w:sz w:val="22"/>
              </w:rPr>
              <w:t>$108.5B</w:t>
            </w:r>
          </w:p>
        </w:tc>
        <w:tc>
          <w:tcPr>
            <w:tcW w:type="dxa" w:w="1080"/>
          </w:tcPr>
          <w:p>
            <w:r>
              <w:rPr>
                <w:rFonts w:ascii="Calibri" w:hAnsi="Calibri"/>
                <w:sz w:val="22"/>
              </w:rPr>
              <w:t>$108.2B</w:t>
            </w:r>
          </w:p>
        </w:tc>
        <w:tc>
          <w:tcPr>
            <w:tcW w:type="dxa" w:w="1080"/>
          </w:tcPr>
          <w:p>
            <w:r>
              <w:rPr>
                <w:rFonts w:ascii="Calibri" w:hAnsi="Calibri"/>
                <w:sz w:val="22"/>
              </w:rPr>
              <w:t>-0.3%</w:t>
            </w:r>
          </w:p>
        </w:tc>
        <w:tc>
          <w:tcPr>
            <w:tcW w:type="dxa" w:w="1080"/>
          </w:tcPr>
          <w:p>
            <w:r>
              <w:rPr>
                <w:rFonts w:ascii="Calibri" w:hAnsi="Calibri"/>
                <w:sz w:val="22"/>
              </w:rPr>
              <w:t>+14%–+17%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r>
        <w:tc>
          <w:tcPr>
            <w:tcW w:type="dxa" w:w="1080"/>
          </w:tcPr>
          <w:p>
            <w:r>
              <w:rPr>
                <w:rFonts w:ascii="Calibri" w:hAnsi="Calibri"/>
                <w:sz w:val="22"/>
              </w:rPr>
              <w:t>Total Revenue — FY26</w:t>
            </w:r>
          </w:p>
        </w:tc>
        <w:tc>
          <w:tcPr>
            <w:tcW w:type="dxa" w:w="1080"/>
          </w:tcPr>
          <w:p>
            <w:r>
              <w:rPr>
                <w:rFonts w:ascii="Calibri" w:hAnsi="Calibri"/>
                <w:sz w:val="22"/>
              </w:rPr>
              <w:t>$477.7B</w:t>
            </w:r>
          </w:p>
        </w:tc>
        <w:tc>
          <w:tcPr>
            <w:tcW w:type="dxa" w:w="1080"/>
          </w:tcPr>
          <w:p>
            <w:r>
              <w:rPr>
                <w:rFonts w:ascii="Calibri" w:hAnsi="Calibri"/>
                <w:sz w:val="22"/>
              </w:rPr>
              <w:t>$477.7B</w:t>
            </w:r>
          </w:p>
        </w:tc>
        <w:tc>
          <w:tcPr>
            <w:tcW w:type="dxa" w:w="1080"/>
          </w:tcPr>
          <w:p>
            <w:r>
              <w:rPr>
                <w:rFonts w:ascii="Calibri" w:hAnsi="Calibri"/>
                <w:sz w:val="22"/>
              </w:rPr>
              <w:t>0.0%</w:t>
            </w:r>
          </w:p>
        </w:tc>
        <w:tc>
          <w:tcPr>
            <w:tcW w:type="dxa" w:w="1080"/>
          </w:tcPr>
          <w:p>
            <w:r>
              <w:rPr>
                <w:rFonts w:ascii="Calibri" w:hAnsi="Calibri"/>
                <w:sz w:val="22"/>
              </w:rPr>
              <w:t>Not guided</w:t>
            </w:r>
          </w:p>
        </w:tc>
        <w:tc>
          <w:tcPr>
            <w:tcW w:type="dxa" w:w="1080"/>
          </w:tcPr>
          <w:p>
            <w:r>
              <w:rPr>
                <w:rFonts w:ascii="Calibri" w:hAnsi="Calibri"/>
                <w:sz w:val="22"/>
              </w:rPr>
              <w:t>Not guided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(Diluted) — Q3 FY26</w:t>
            </w:r>
          </w:p>
        </w:tc>
        <w:tc>
          <w:tcPr>
            <w:tcW w:type="dxa" w:w="1080"/>
          </w:tcPr>
          <w:p>
            <w:r>
              <w:rPr>
                <w:rFonts w:ascii="Calibri" w:hAnsi="Calibri"/>
                <w:sz w:val="22"/>
              </w:rPr>
              <w:t>$1.88</w:t>
            </w:r>
          </w:p>
        </w:tc>
        <w:tc>
          <w:tcPr>
            <w:tcW w:type="dxa" w:w="1080"/>
          </w:tcPr>
          <w:p>
            <w:r>
              <w:rPr>
                <w:rFonts w:ascii="Calibri" w:hAnsi="Calibri"/>
                <w:sz w:val="22"/>
              </w:rPr>
              <w:t>$1.87</w:t>
            </w:r>
          </w:p>
        </w:tc>
        <w:tc>
          <w:tcPr>
            <w:tcW w:type="dxa" w:w="1080"/>
          </w:tcPr>
          <w:p>
            <w:r>
              <w:rPr>
                <w:rFonts w:ascii="Calibri" w:hAnsi="Calibri"/>
                <w:sz w:val="22"/>
              </w:rPr>
              <w:t>-0.5%</w:t>
            </w:r>
          </w:p>
        </w:tc>
        <w:tc>
          <w:tcPr>
            <w:tcW w:type="dxa" w:w="1080"/>
          </w:tcPr>
          <w:p>
            <w:r>
              <w:rPr>
                <w:rFonts w:ascii="Calibri" w:hAnsi="Calibri"/>
                <w:sz w:val="22"/>
              </w:rPr>
              <w:t>Not guided</w:t>
            </w:r>
          </w:p>
        </w:tc>
        <w:tc>
          <w:tcPr>
            <w:tcW w:type="dxa" w:w="1080"/>
          </w:tcPr>
          <w:p>
            <w:r>
              <w:rPr>
                <w:rFonts w:ascii="Calibri" w:hAnsi="Calibri"/>
                <w:sz w:val="22"/>
              </w:rPr>
              <w:t>Not guided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(Diluted) — FY26</w:t>
            </w:r>
          </w:p>
        </w:tc>
        <w:tc>
          <w:tcPr>
            <w:tcW w:type="dxa" w:w="1080"/>
          </w:tcPr>
          <w:p>
            <w:r>
              <w:rPr>
                <w:rFonts w:ascii="Calibri" w:hAnsi="Calibri"/>
                <w:sz w:val="22"/>
              </w:rPr>
              <w:t>$8.75</w:t>
            </w:r>
          </w:p>
        </w:tc>
        <w:tc>
          <w:tcPr>
            <w:tcW w:type="dxa" w:w="1080"/>
          </w:tcPr>
          <w:p>
            <w:r>
              <w:rPr>
                <w:rFonts w:ascii="Calibri" w:hAnsi="Calibri"/>
                <w:sz w:val="22"/>
              </w:rPr>
              <w:t>$8.71</w:t>
            </w:r>
          </w:p>
        </w:tc>
        <w:tc>
          <w:tcPr>
            <w:tcW w:type="dxa" w:w="1080"/>
          </w:tcPr>
          <w:p>
            <w:r>
              <w:rPr>
                <w:rFonts w:ascii="Calibri" w:hAnsi="Calibri"/>
                <w:sz w:val="22"/>
              </w:rPr>
              <w:t>-0.5%</w:t>
            </w:r>
          </w:p>
        </w:tc>
        <w:tc>
          <w:tcPr>
            <w:tcW w:type="dxa" w:w="1080"/>
          </w:tcPr>
          <w:p>
            <w:r>
              <w:rPr>
                <w:rFonts w:ascii="Calibri" w:hAnsi="Calibri"/>
                <w:sz w:val="22"/>
              </w:rPr>
              <w:t>Not guided</w:t>
            </w:r>
          </w:p>
        </w:tc>
        <w:tc>
          <w:tcPr>
            <w:tcW w:type="dxa" w:w="1080"/>
          </w:tcPr>
          <w:p>
            <w:r>
              <w:rPr>
                <w:rFonts w:ascii="Calibri" w:hAnsi="Calibri"/>
                <w:sz w:val="22"/>
              </w:rPr>
              <w:t>Not guided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Gross Margin — Q3 FY26</w:t>
            </w:r>
          </w:p>
        </w:tc>
        <w:tc>
          <w:tcPr>
            <w:tcW w:type="dxa" w:w="1080"/>
          </w:tcPr>
          <w:p>
            <w:r>
              <w:rPr>
                <w:rFonts w:ascii="Calibri" w:hAnsi="Calibri"/>
                <w:sz w:val="22"/>
              </w:rPr>
              <w:t>48.1%</w:t>
            </w:r>
          </w:p>
        </w:tc>
        <w:tc>
          <w:tcPr>
            <w:tcW w:type="dxa" w:w="1080"/>
          </w:tcPr>
          <w:p>
            <w:r>
              <w:rPr>
                <w:rFonts w:ascii="Calibri" w:hAnsi="Calibri"/>
                <w:sz w:val="22"/>
              </w:rPr>
              <w:t>48.0%</w:t>
            </w:r>
          </w:p>
        </w:tc>
        <w:tc>
          <w:tcPr>
            <w:tcW w:type="dxa" w:w="1080"/>
          </w:tcPr>
          <w:p>
            <w:r>
              <w:rPr>
                <w:rFonts w:ascii="Calibri" w:hAnsi="Calibri"/>
                <w:sz w:val="22"/>
              </w:rPr>
              <w:t>-10 bps</w:t>
            </w:r>
          </w:p>
        </w:tc>
        <w:tc>
          <w:tcPr>
            <w:tcW w:type="dxa" w:w="1080"/>
          </w:tcPr>
          <w:p>
            <w:r>
              <w:rPr>
                <w:rFonts w:ascii="Calibri" w:hAnsi="Calibri"/>
                <w:sz w:val="22"/>
              </w:rPr>
              <w:t>47.5%–48.5%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r>
        <w:tc>
          <w:tcPr>
            <w:tcW w:type="dxa" w:w="1080"/>
          </w:tcPr>
          <w:p>
            <w:r>
              <w:rPr>
                <w:rFonts w:ascii="Calibri" w:hAnsi="Calibri"/>
                <w:sz w:val="22"/>
              </w:rPr>
              <w:t>Services Revenue — Q3 FY26</w:t>
            </w:r>
          </w:p>
        </w:tc>
        <w:tc>
          <w:tcPr>
            <w:tcW w:type="dxa" w:w="1080"/>
          </w:tcPr>
          <w:p>
            <w:r>
              <w:rPr>
                <w:rFonts w:ascii="Calibri" w:hAnsi="Calibri"/>
                <w:sz w:val="22"/>
              </w:rPr>
              <w:t>$31.4B</w:t>
            </w:r>
          </w:p>
        </w:tc>
        <w:tc>
          <w:tcPr>
            <w:tcW w:type="dxa" w:w="1080"/>
          </w:tcPr>
          <w:p>
            <w:r>
              <w:rPr>
                <w:rFonts w:ascii="Calibri" w:hAnsi="Calibri"/>
                <w:sz w:val="22"/>
              </w:rPr>
              <w:t>$31.4B</w:t>
            </w:r>
          </w:p>
        </w:tc>
        <w:tc>
          <w:tcPr>
            <w:tcW w:type="dxa" w:w="1080"/>
          </w:tcPr>
          <w:p>
            <w:r>
              <w:rPr>
                <w:rFonts w:ascii="Calibri" w:hAnsi="Calibri"/>
                <w:sz w:val="22"/>
              </w:rPr>
              <w:t>0.0%</w:t>
            </w:r>
          </w:p>
        </w:tc>
        <w:tc>
          <w:tcPr>
            <w:tcW w:type="dxa" w:w="1080"/>
          </w:tcPr>
          <w:p>
            <w:r>
              <w:rPr>
                <w:rFonts w:ascii="Calibri" w:hAnsi="Calibri"/>
                <w:sz w:val="22"/>
              </w:rPr>
              <w:t>~Similar to Q2 ex-FX</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Slightly above</w:t>
            </w:r>
          </w:p>
        </w:tc>
      </w:tr>
      <w:tr>
        <w:tc>
          <w:tcPr>
            <w:tcW w:type="dxa" w:w="1080"/>
          </w:tcPr>
          <w:p>
            <w:r>
              <w:rPr>
                <w:rFonts w:ascii="Calibri" w:hAnsi="Calibri"/>
                <w:sz w:val="22"/>
              </w:rPr>
              <w:t>iPhone Revenue — Q3 FY26</w:t>
            </w:r>
          </w:p>
        </w:tc>
        <w:tc>
          <w:tcPr>
            <w:tcW w:type="dxa" w:w="1080"/>
          </w:tcPr>
          <w:p>
            <w:r>
              <w:rPr>
                <w:rFonts w:ascii="Calibri" w:hAnsi="Calibri"/>
                <w:sz w:val="22"/>
              </w:rPr>
              <w:t>$53.5B</w:t>
            </w:r>
          </w:p>
        </w:tc>
        <w:tc>
          <w:tcPr>
            <w:tcW w:type="dxa" w:w="1080"/>
          </w:tcPr>
          <w:p>
            <w:r>
              <w:rPr>
                <w:rFonts w:ascii="Calibri" w:hAnsi="Calibri"/>
                <w:sz w:val="22"/>
              </w:rPr>
              <w:t>$53.1B</w:t>
            </w:r>
          </w:p>
        </w:tc>
        <w:tc>
          <w:tcPr>
            <w:tcW w:type="dxa" w:w="1080"/>
          </w:tcPr>
          <w:p>
            <w:r>
              <w:rPr>
                <w:rFonts w:ascii="Calibri" w:hAnsi="Calibri"/>
                <w:sz w:val="22"/>
              </w:rPr>
              <w:t>-0.7%</w:t>
            </w:r>
          </w:p>
        </w:tc>
        <w:tc>
          <w:tcPr>
            <w:tcW w:type="dxa" w:w="1080"/>
          </w:tcPr>
          <w:p>
            <w:r>
              <w:rPr>
                <w:rFonts w:ascii="Calibri" w:hAnsi="Calibri"/>
                <w:sz w:val="22"/>
              </w:rPr>
              <w:t>Not guided</w:t>
            </w:r>
          </w:p>
        </w:tc>
        <w:tc>
          <w:tcPr>
            <w:tcW w:type="dxa" w:w="1080"/>
          </w:tcPr>
          <w:p>
            <w:r>
              <w:rPr>
                <w:rFonts w:ascii="Calibri" w:hAnsi="Calibri"/>
                <w:sz w:val="22"/>
              </w:rPr>
              <w:t>Not guided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Estimates have been remarkably stable since the April 30 print — the Street has essentially locked in the guidance midpoint and made minimal adjustments. The slight downward drift in iPhone consensus (-0.7%) likely reflects supply constraint concerns flagged by management. The key watch item is FY27 estimates: at $521.4B revenue and $9.60 EPS, the Street is pricing in ~9% revenue growth and ~10% EPS growth for FY27, which could face downward pressure if memory cost headwinds prove more severe than expected beyond the June quarter.</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b/>
          <w:color w:val="525866"/>
          <w:sz w:val="22"/>
        </w:rPr>
        <w:t>AAPL has massively outperformed since the April 30 print (</w:t>
      </w:r>
      <w:r>
        <w:rPr>
          <w:rFonts w:ascii="Calibri" w:hAnsi="Calibri"/>
          <w:b/>
          <w:color w:val="30A46C"/>
          <w:sz w:val="22"/>
        </w:rPr>
        <w:t>+24.6%</w:t>
      </w:r>
      <w:r>
        <w:rPr>
          <w:rFonts w:ascii="Calibri" w:hAnsi="Calibri"/>
          <w:b/>
          <w:color w:val="525866"/>
          <w:sz w:val="22"/>
        </w:rPr>
        <w:t xml:space="preserve"> vs. XLK +4.4% and SPY +1.5%), driven by multiple expansion on AI optionality (WWDC/Siri AI reveal) and continued iPhone cycle momentum — the stock is now approaching all-time highs heading into the print.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AAPL vs. XLK (Tech ETF) vs. S&amp;P 500 — Indexed to 100 at April 30, 2026 (Q2 FY26 Earnings Date). Source: Yahoo Finance.</w:t>
      </w:r>
    </w:p>
    <w:p>
      <w:r>
        <w:rPr>
          <w:rFonts w:ascii="Calibri" w:hAnsi="Calibri"/>
          <w:color w:val="525866"/>
          <w:sz w:val="22"/>
        </w:rPr>
        <w:t xml:space="preserve">AAPL's +24.6% return since the April 30 earnings print has been driven by a combination of earnings momentum and AI re-rating. The stock initially rallied on the Q2 beat, then pulled back in mid-June before surging again in July as the market digested the WWDC 2026 Siri AI reveal and the broader AI upgrade cycle narrative. Notably, AAPL has significantly outperformed XLK (+4.4%) and the S&amp;P 500 (+1.5%) over this period, suggesting the outperformance is </w:t>
      </w:r>
      <w:r>
        <w:rPr>
          <w:rFonts w:ascii="Calibri" w:hAnsi="Calibri"/>
          <w:b/>
          <w:color w:val="525866"/>
          <w:sz w:val="22"/>
        </w:rPr>
        <w:t>company-specific rather than sector-driven</w:t>
      </w:r>
      <w:r>
        <w:rPr>
          <w:rFonts w:ascii="Calibri" w:hAnsi="Calibri"/>
          <w:color w:val="525866"/>
          <w:sz w:val="22"/>
        </w:rPr>
        <w:t xml:space="preserve">. The stock now trades at approximately </w:t>
      </w:r>
      <w:r>
        <w:rPr>
          <w:rFonts w:ascii="Calibri" w:hAnsi="Calibri"/>
          <w:b/>
          <w:color w:val="525866"/>
          <w:sz w:val="22"/>
        </w:rPr>
        <w:t>33–34x NTM EPS</w:t>
      </w:r>
      <w:r>
        <w:rPr>
          <w:rFonts w:ascii="Calibri" w:hAnsi="Calibri"/>
          <w:color w:val="525866"/>
          <w:sz w:val="22"/>
        </w:rPr>
        <w:t xml:space="preserve"> — above its 10-year historical average of ~25x — implying the market has priced in meaningful AI monetization through Services and the iCloud+ gating mechanism. With the stock up ~25% since last earnings, the bar for a positive reaction on July 30 is meaningfully higher than it was three months ago. Options markets are pricing an implied move of approximately </w:t>
      </w:r>
      <w:r>
        <w:rPr>
          <w:rFonts w:ascii="Calibri" w:hAnsi="Calibri"/>
          <w:b/>
          <w:color w:val="525866"/>
          <w:sz w:val="22"/>
        </w:rPr>
        <w:t>~4% in either direction</w:t>
      </w:r>
      <w:r>
        <w:rPr>
          <w:rFonts w:ascii="Calibri" w:hAnsi="Calibri"/>
          <w:color w:val="525866"/>
          <w:sz w:val="22"/>
        </w:rPr>
        <w:t>.</w:t>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b/>
          <w:color w:val="525866"/>
          <w:sz w:val="22"/>
        </w:rPr>
        <w:t xml:space="preserve">The CEO transition (Tim Cook → John Ternus, effective September 1) and the WWDC 2026 Siri AI reveal are the two most consequential developments since the April 30 print — both are now well-known to the market, but management's tone on the transition and </w:t>
      </w:r>
      <w:r>
        <w:rPr>
          <w:rFonts w:ascii="Calibri" w:hAnsi="Calibri"/>
          <w:b/>
          <w:color w:val="525866"/>
          <w:sz w:val="22"/>
        </w:rPr>
        <w:t>AI monetization timeline</w:t>
      </w:r>
      <w:r>
        <w:rPr>
          <w:rFonts w:ascii="Calibri" w:hAnsi="Calibri"/>
          <w:b/>
          <w:color w:val="525866"/>
          <w:sz w:val="22"/>
        </w:rPr>
        <w:t xml:space="preserve"> will be closely watched on the call.</w:t>
      </w:r>
    </w:p>
    <w:p>
      <w:pPr>
        <w:pStyle w:val="ListBullet"/>
        <w:ind w:left="360" w:hanging="360"/>
      </w:pPr>
      <w:r>
        <w:rPr>
          <w:rFonts w:ascii="Calibri" w:hAnsi="Calibri"/>
          <w:b/>
          <w:color w:val="525866"/>
          <w:sz w:val="22"/>
        </w:rPr>
        <w:t>April 20, 2026 — CEO Transition Announced:</w:t>
      </w:r>
      <w:r>
        <w:rPr>
          <w:rFonts w:ascii="Calibri" w:hAnsi="Calibri"/>
          <w:color w:val="525866"/>
          <w:sz w:val="22"/>
        </w:rPr>
        <w:t xml:space="preserve"> Tim Cook to become Executive Chairman; John Ternus (SVP Hardware Engineering) named CEO effective September 1, 2026. Johny Srouji simultaneously named Chief Hardware Officer. The transition was disclosed via 8-K on April 20, 2026 (10 days before Q2 earnings). Market reaction was initially muted; the stock has since re-rated higher as investors appear comfortable with Ternus's hardware engineering background given the current iPhone/Mac cycle. </w:t>
      </w:r>
      <w:r>
        <w:rPr>
          <w:rFonts w:ascii="Calibri" w:hAnsi="Calibri"/>
          <w:i/>
          <w:color w:val="525866"/>
          <w:sz w:val="22"/>
        </w:rPr>
        <w:t>Implication: Watch for any commentary on capital allocation continuity and strategic priorities under new leadership.</w:t>
      </w:r>
    </w:p>
    <w:p>
      <w:pPr>
        <w:pStyle w:val="ListBullet"/>
        <w:ind w:left="360" w:hanging="360"/>
      </w:pPr>
      <w:r>
        <w:rPr>
          <w:rFonts w:ascii="Calibri" w:hAnsi="Calibri"/>
          <w:b/>
          <w:color w:val="525866"/>
          <w:sz w:val="22"/>
        </w:rPr>
        <w:t>June 8, 2026 — WWDC 2026 / Siri AI Reveal:</w:t>
      </w:r>
      <w:r>
        <w:rPr>
          <w:rFonts w:ascii="Calibri" w:hAnsi="Calibri"/>
          <w:color w:val="525866"/>
          <w:sz w:val="22"/>
        </w:rPr>
        <w:t xml:space="preserve"> Apple formally unveiled "Siri AI" — a rebuilt assistant powered by Apple Foundation Models (AFM 3) in collaboration with Google Gemini — alongside iOS 27 and macOS Golden Gate (macOS 27, dropping Intel Mac support). Key constraints: Siri AI will </w:t>
      </w:r>
      <w:r>
        <w:rPr>
          <w:rFonts w:ascii="Calibri" w:hAnsi="Calibri"/>
          <w:b/>
          <w:color w:val="525866"/>
          <w:sz w:val="22"/>
        </w:rPr>
        <w:t>NOT be available in the EU (DMA friction) or China (regulatory requirements)</w:t>
      </w:r>
      <w:r>
        <w:rPr>
          <w:rFonts w:ascii="Calibri" w:hAnsi="Calibri"/>
          <w:color w:val="525866"/>
          <w:sz w:val="22"/>
        </w:rPr>
        <w:t xml:space="preserve"> at launch. iOS 27 supports every device that runs iOS 26 (unprecedented — no device dropped). iCloud+ confirmed as the monetization layer for premium Apple Intelligence access. </w:t>
      </w:r>
      <w:r>
        <w:rPr>
          <w:rFonts w:ascii="Calibri" w:hAnsi="Calibri"/>
          <w:i/>
          <w:color w:val="525866"/>
          <w:sz w:val="22"/>
        </w:rPr>
        <w:t>Implication: The EU/China Siri AI exclusion limits the near-term AI upgrade cycle narrative in two of Apple's most important markets.</w:t>
      </w:r>
    </w:p>
    <w:p>
      <w:pPr>
        <w:pStyle w:val="ListBullet"/>
        <w:ind w:left="360" w:hanging="360"/>
      </w:pPr>
      <w:r>
        <w:rPr>
          <w:rFonts w:ascii="Calibri" w:hAnsi="Calibri"/>
          <w:b/>
          <w:color w:val="525866"/>
          <w:sz w:val="22"/>
        </w:rPr>
        <w:t>June 8, 2026 — Apple Maps Ads Announced:</w:t>
      </w:r>
      <w:r>
        <w:rPr>
          <w:rFonts w:ascii="Calibri" w:hAnsi="Calibri"/>
          <w:color w:val="525866"/>
          <w:sz w:val="22"/>
        </w:rPr>
        <w:t xml:space="preserve"> Apple announced Apple Maps ads launching in the US and Canada in summer 2026, representing a new advertising revenue layer within Services. </w:t>
      </w:r>
      <w:r>
        <w:rPr>
          <w:rFonts w:ascii="Calibri" w:hAnsi="Calibri"/>
          <w:i/>
          <w:color w:val="525866"/>
          <w:sz w:val="22"/>
        </w:rPr>
        <w:t>Implication: Incremental Services monetization; watch for any commentary on advertising revenue trajectory.</w:t>
      </w:r>
    </w:p>
    <w:p>
      <w:pPr>
        <w:pStyle w:val="ListBullet"/>
        <w:ind w:left="360" w:hanging="360"/>
      </w:pPr>
      <w:r>
        <w:rPr>
          <w:rFonts w:ascii="Calibri" w:hAnsi="Calibri"/>
          <w:b/>
          <w:color w:val="525866"/>
          <w:sz w:val="22"/>
        </w:rPr>
        <w:t>May 19, 2026 — New Accessibility Features Announced:</w:t>
      </w:r>
      <w:r>
        <w:rPr>
          <w:rFonts w:ascii="Calibri" w:hAnsi="Calibri"/>
          <w:color w:val="525866"/>
          <w:sz w:val="22"/>
        </w:rPr>
        <w:t xml:space="preserve"> Apple unveiled new accessibility features powered by Apple Intelligence, including updates to Live Listen, Personal Voice, and Eye Tracking. </w:t>
      </w:r>
      <w:r>
        <w:rPr>
          <w:rFonts w:ascii="Calibri" w:hAnsi="Calibri"/>
          <w:i/>
          <w:color w:val="525866"/>
          <w:sz w:val="22"/>
        </w:rPr>
        <w:t>Implication: Signals continued investment in AI-powered platform features ahead of the fall hardware launch.</w:t>
      </w:r>
    </w:p>
    <w:p>
      <w:pPr>
        <w:pStyle w:val="ListBullet"/>
        <w:ind w:left="360" w:hanging="360"/>
      </w:pPr>
      <w:r>
        <w:rPr>
          <w:rFonts w:ascii="Calibri" w:hAnsi="Calibri"/>
          <w:b/>
          <w:color w:val="525866"/>
          <w:sz w:val="22"/>
        </w:rPr>
        <w:t>April 20, 2026 — Johny Srouji Named Chief Hardware Officer:</w:t>
      </w:r>
      <w:r>
        <w:rPr>
          <w:rFonts w:ascii="Calibri" w:hAnsi="Calibri"/>
          <w:color w:val="525866"/>
          <w:sz w:val="22"/>
        </w:rPr>
        <w:t xml:space="preserve"> Concurrent with the CEO transition announcement, Johny Srouji (SVP Silicon Engineering) was elevated to Chief Hardware Officer, consolidating hardware and silicon leadership. </w:t>
      </w:r>
      <w:r>
        <w:rPr>
          <w:rFonts w:ascii="Calibri" w:hAnsi="Calibri"/>
          <w:i/>
          <w:color w:val="525866"/>
          <w:sz w:val="22"/>
        </w:rPr>
        <w:t>Implication: Signals continuity in Apple Silicon strategy and the A19/M5 roadmap.</w:t>
      </w:r>
    </w:p>
    <w:p>
      <w:pPr>
        <w:pStyle w:val="ListBullet"/>
        <w:ind w:left="360" w:hanging="360"/>
      </w:pPr>
      <w:r>
        <w:rPr>
          <w:rFonts w:ascii="Calibri" w:hAnsi="Calibri"/>
          <w:b/>
          <w:color w:val="525866"/>
          <w:sz w:val="22"/>
        </w:rPr>
        <w:t>Ongoing — Memory Cost Headwind:</w:t>
      </w:r>
      <w:r>
        <w:rPr>
          <w:rFonts w:ascii="Calibri" w:hAnsi="Calibri"/>
          <w:color w:val="525866"/>
          <w:sz w:val="22"/>
        </w:rPr>
        <w:t xml:space="preserve"> Management explicitly warned on the April 30 call that memory costs will drive an "increasing impact" beyond the June quarter with no resolution timeline. Micron (MU) confirmed at its June 24 earnings that DRAM/NAND demand continues to significantly exceed supply and expects tight conditions to persist beyond calendar 2027. </w:t>
      </w:r>
      <w:r>
        <w:rPr>
          <w:rFonts w:ascii="Calibri" w:hAnsi="Calibri"/>
          <w:i/>
          <w:color w:val="525866"/>
          <w:sz w:val="22"/>
        </w:rPr>
        <w:t>Implication: This is the primary margin risk for FY27 estimates and could be the most important forward-looking topic on the July 30 call.</w:t>
      </w:r>
    </w:p>
    <w:p>
      <w:pPr>
        <w:pStyle w:val="ListBullet"/>
        <w:ind w:left="360" w:hanging="360"/>
      </w:pPr>
      <w:r>
        <w:rPr>
          <w:rFonts w:ascii="Calibri" w:hAnsi="Calibri"/>
          <w:b/>
          <w:color w:val="525866"/>
          <w:sz w:val="22"/>
        </w:rPr>
        <w:t>Ongoing — Mac Supply Constraints:</w:t>
      </w:r>
      <w:r>
        <w:rPr>
          <w:rFonts w:ascii="Calibri" w:hAnsi="Calibri"/>
          <w:color w:val="525866"/>
          <w:sz w:val="22"/>
        </w:rPr>
        <w:t xml:space="preserve"> Mac Mini, Mac Studio, and MacBook Neo supply constraints are expected to persist for "several months" into Q3 per management's April 30 commentary. Skyworks (SWKS) noted on July 28 that it is building inventory ahead of the fall mobile ramp for its largest customer, suggesting Apple's supply chain is actively preparing for the iPhone 18 launch. </w:t>
      </w:r>
      <w:r>
        <w:rPr>
          <w:rFonts w:ascii="Calibri" w:hAnsi="Calibri"/>
          <w:i/>
          <w:color w:val="525866"/>
          <w:sz w:val="22"/>
        </w:rPr>
        <w:t>Implication: Mac supply constraints may limit Q3 Mac revenue upside, but the demand signal is bullish for the AI-platform narrative.</w:t>
      </w:r>
    </w:p>
    <w:p>
      <w:r>
        <w:br w:type="page"/>
      </w:r>
    </w:p>
    <w:p>
      <w:pPr>
        <w:pStyle w:val="Heading2"/>
      </w:pPr>
      <w:r>
        <w:rPr>
          <w:rFonts w:ascii="Calibri" w:hAnsi="Calibri"/>
          <w:b/>
          <w:color w:val="3B4259"/>
          <w:sz w:val="28"/>
        </w:rPr>
        <w:t>Peer Commentary — Read-Throughs for Q3 FY26</w:t>
      </w:r>
    </w:p>
    <w:p>
      <w:r>
        <w:rPr>
          <w:rFonts w:ascii="Calibri" w:hAnsi="Calibri"/>
          <w:b/>
          <w:color w:val="525866"/>
          <w:sz w:val="22"/>
        </w:rPr>
        <w:t xml:space="preserve">Key Takeaway: </w:t>
      </w:r>
      <w:r>
        <w:rPr>
          <w:rFonts w:ascii="Calibri" w:hAnsi="Calibri"/>
          <w:b/>
          <w:color w:val="525866"/>
          <w:sz w:val="22"/>
        </w:rPr>
        <w:t xml:space="preserve">Peer commentary from the last 60 days paints a mixed but net-positive picture for AAPL's June quarter — iPhone demand signals from suppliers are solid heading into the fall ramp, memory cost headwinds are real and industry-wide, and China smartphone demand appears to be bottoming. The most important read-through is from QCOM, which confirmed Apple's supply constraints are </w:t>
      </w:r>
      <w:r>
        <w:rPr>
          <w:rFonts w:ascii="Calibri" w:hAnsi="Calibri"/>
          <w:b/>
          <w:color w:val="525866"/>
          <w:sz w:val="22"/>
        </w:rPr>
        <w:t>accelerating its own modem share loss</w:t>
      </w:r>
      <w:r>
        <w:rPr>
          <w:rFonts w:ascii="Calibri" w:hAnsi="Calibri"/>
          <w:b/>
          <w:color w:val="525866"/>
          <w:sz w:val="22"/>
        </w:rPr>
        <w:t xml:space="preserve"> — a signal that Apple's in-house modem ramp is on track, which is strategically positive for AAPL's long-term gross margin.</w:t>
      </w:r>
    </w:p>
    <w:p>
      <w:pPr>
        <w:pStyle w:val="Heading3"/>
      </w:pPr>
      <w:r>
        <w:rPr>
          <w:rFonts w:ascii="Calibri" w:hAnsi="Calibri"/>
          <w:b/>
          <w:color w:val="3B4259"/>
          <w:sz w:val="24"/>
        </w:rPr>
        <w:t>Qualcomm (QCOM) — Earnings Call July 29, 2026 — Most Relevant</w:t>
      </w:r>
    </w:p>
    <w:p>
      <w:r>
        <w:rPr>
          <w:rFonts w:ascii="Calibri" w:hAnsi="Calibri"/>
          <w:color w:val="525866"/>
          <w:sz w:val="22"/>
        </w:rPr>
        <w:t xml:space="preserve">QCOM's Q3 FY26 earnings call (reported same day as AAPL's preview) contained the most direct Apple read-through of any peer. Qualcomm disclosed that its share for the upcoming iPhone launch (iPhone 18) is expected to be </w:t>
      </w:r>
      <w:r>
        <w:rPr>
          <w:rFonts w:ascii="Calibri" w:hAnsi="Calibri"/>
          <w:b/>
          <w:color w:val="525866"/>
          <w:sz w:val="22"/>
        </w:rPr>
        <w:t>"materially lower than our prior estimate of 20%,"</w:t>
      </w:r>
      <w:r>
        <w:rPr>
          <w:rFonts w:ascii="Calibri" w:hAnsi="Calibri"/>
          <w:color w:val="525866"/>
          <w:sz w:val="22"/>
        </w:rPr>
        <w:t xml:space="preserve"> and that it now expects an "acceleration in the step down of Apple product revenues starting in the fourth fiscal quarter." For FY27, QCOM expects Apple product revenue to be "less than the previous guidance we had given, which was a little over $2 billion." This is a direct confirmation that </w:t>
      </w:r>
      <w:r>
        <w:rPr>
          <w:rFonts w:ascii="Calibri" w:hAnsi="Calibri"/>
          <w:b/>
          <w:color w:val="525866"/>
          <w:sz w:val="22"/>
        </w:rPr>
        <w:t>Apple's in-house modem development is on track and accelerating</w:t>
      </w:r>
      <w:r>
        <w:rPr>
          <w:rFonts w:ascii="Calibri" w:hAnsi="Calibri"/>
          <w:color w:val="525866"/>
          <w:sz w:val="22"/>
        </w:rPr>
        <w:t xml:space="preserve"> — a significant long-term gross margin tailwind for AAPL as it eliminates Qualcomm's ~$15–20 per device modem cost. QCOM also noted that the entire industry is being impacted by </w:t>
      </w:r>
      <w:r>
        <w:rPr>
          <w:rFonts w:ascii="Calibri" w:hAnsi="Calibri"/>
          <w:b/>
          <w:color w:val="525866"/>
          <w:sz w:val="22"/>
        </w:rPr>
        <w:t>"unprecedented memory prices"</w:t>
      </w:r>
      <w:r>
        <w:rPr>
          <w:rFonts w:ascii="Calibri" w:hAnsi="Calibri"/>
          <w:color w:val="525866"/>
          <w:sz w:val="22"/>
        </w:rPr>
        <w:t xml:space="preserve"> and "supply chain shortages driven by overall data center demand," with QCT handset revenues reflecting "the impact of industrywide memory dynamics on the global smartphone market." The handset market TAM is expected to be "down low teens" YoY for the industry — but Apple's premium positioning and iPhone 17 cycle momentum should insulate it from the lower-tier volume declines that are driving the industry weakness. On China, QCOM stated that Chinese OEM revenues </w:t>
      </w:r>
      <w:r>
        <w:rPr>
          <w:rFonts w:ascii="Calibri" w:hAnsi="Calibri"/>
          <w:b/>
          <w:color w:val="525866"/>
          <w:sz w:val="22"/>
        </w:rPr>
        <w:t>"reached a bottom in the third fiscal quarter and will return to double digit sequential growth in the fourth quarter"</w:t>
      </w:r>
      <w:r>
        <w:rPr>
          <w:rFonts w:ascii="Calibri" w:hAnsi="Calibri"/>
          <w:color w:val="525866"/>
          <w:sz w:val="22"/>
        </w:rPr>
        <w:t xml:space="preserve"> — a positive read-through for Apple's China demand trajectory.</w:t>
      </w:r>
    </w:p>
    <w:p>
      <w:pPr>
        <w:pStyle w:val="Heading3"/>
      </w:pPr>
      <w:r>
        <w:rPr>
          <w:rFonts w:ascii="Calibri" w:hAnsi="Calibri"/>
          <w:b/>
          <w:color w:val="3B4259"/>
          <w:sz w:val="24"/>
        </w:rPr>
        <w:t>Skyworks Solutions (SWKS) — Earnings Call July 28, 2026</w:t>
      </w:r>
    </w:p>
    <w:p>
      <w:r>
        <w:rPr>
          <w:rFonts w:ascii="Calibri" w:hAnsi="Calibri"/>
          <w:color w:val="525866"/>
          <w:sz w:val="22"/>
        </w:rPr>
        <w:t xml:space="preserve">Skyworks, a key RF component supplier to Apple, provided a constructive read-through for the June quarter and the fall ramp. The company reported </w:t>
      </w:r>
      <w:r>
        <w:rPr>
          <w:rFonts w:ascii="Calibri" w:hAnsi="Calibri"/>
          <w:b/>
          <w:color w:val="525866"/>
          <w:sz w:val="22"/>
        </w:rPr>
        <w:t>"healthy demand at our largest customer"</w:t>
      </w:r>
      <w:r>
        <w:rPr>
          <w:rFonts w:ascii="Calibri" w:hAnsi="Calibri"/>
          <w:color w:val="525866"/>
          <w:sz w:val="22"/>
        </w:rPr>
        <w:t xml:space="preserve"> during what was seasonally a lighter quarter, with mobile revenue slightly ahead of expectations. Critically, SWKS guided mobile revenue to </w:t>
      </w:r>
      <w:r>
        <w:rPr>
          <w:rFonts w:ascii="Calibri" w:hAnsi="Calibri"/>
          <w:b/>
          <w:color w:val="525866"/>
          <w:sz w:val="22"/>
        </w:rPr>
        <w:t>"grow sequentially in the high teens range"</w:t>
      </w:r>
      <w:r>
        <w:rPr>
          <w:rFonts w:ascii="Calibri" w:hAnsi="Calibri"/>
          <w:color w:val="525866"/>
          <w:sz w:val="22"/>
        </w:rPr>
        <w:t xml:space="preserve"> in Q4 FY26, "supported by the seasonal ramp of new product launches at our largest customer" — a direct signal of strong iPhone 18 build activity. Channel inventories are described as "lean" and demand signals are "steady," with book-to-bill above 1. SWKS also noted that Apple has been "doing ahead of some of the unit projections," and that the content loss it had initially projected (a 2025% decline) has improved to </w:t>
      </w:r>
      <w:r>
        <w:rPr>
          <w:rFonts w:ascii="Calibri" w:hAnsi="Calibri"/>
          <w:b/>
          <w:color w:val="525866"/>
          <w:sz w:val="22"/>
        </w:rPr>
        <w:t>"somewhere in the low teens"</w:t>
      </w:r>
      <w:r>
        <w:rPr>
          <w:rFonts w:ascii="Calibri" w:hAnsi="Calibri"/>
          <w:color w:val="525866"/>
          <w:sz w:val="22"/>
        </w:rPr>
        <w:t xml:space="preserve"> due to "some strength in units to offset that." The company is building inventory ahead of the September mobile ramp, suggesting Apple's supply chain is actively ramping. On AI, SWKS noted that "for the first time in many years, we're seeing an increase in RF complexity" — a positive signal for content per device in future iPhone generations.</w:t>
      </w:r>
    </w:p>
    <w:p>
      <w:pPr>
        <w:pStyle w:val="Heading3"/>
      </w:pPr>
      <w:r>
        <w:rPr>
          <w:rFonts w:ascii="Calibri" w:hAnsi="Calibri"/>
          <w:b/>
          <w:color w:val="3B4259"/>
          <w:sz w:val="24"/>
        </w:rPr>
        <w:t>Micron Technology (MU) — Earnings Call June 24, 2026</w:t>
      </w:r>
    </w:p>
    <w:p>
      <w:r>
        <w:rPr>
          <w:rFonts w:ascii="Calibri" w:hAnsi="Calibri"/>
          <w:color w:val="525866"/>
          <w:sz w:val="22"/>
        </w:rPr>
        <w:t xml:space="preserve">Micron's Q3 FY26 earnings call is the most important read-through for AAPL's gross margin trajectory. MU confirmed that </w:t>
      </w:r>
      <w:r>
        <w:rPr>
          <w:rFonts w:ascii="Calibri" w:hAnsi="Calibri"/>
          <w:b/>
          <w:color w:val="525866"/>
          <w:sz w:val="22"/>
        </w:rPr>
        <w:t>"DRAM and NAND industry demand continues to significantly exceed industry supply"</w:t>
      </w:r>
      <w:r>
        <w:rPr>
          <w:rFonts w:ascii="Calibri" w:hAnsi="Calibri"/>
          <w:color w:val="525866"/>
          <w:sz w:val="22"/>
        </w:rPr>
        <w:t xml:space="preserve"> and expects "tight conditions to persist beyond calendar 2027." Critically, MU stated that "transitions like LP5 to LP6, DDR5 to DDR6, and newer generations of HBM all come with rising bit costs," and that </w:t>
      </w:r>
      <w:r>
        <w:rPr>
          <w:rFonts w:ascii="Calibri" w:hAnsi="Calibri"/>
          <w:b/>
          <w:color w:val="525866"/>
          <w:sz w:val="22"/>
        </w:rPr>
        <w:t>"DRAM cost per bit is projected to rise from current levels."</w:t>
      </w:r>
      <w:r>
        <w:rPr>
          <w:rFonts w:ascii="Calibri" w:hAnsi="Calibri"/>
          <w:color w:val="525866"/>
          <w:sz w:val="22"/>
        </w:rPr>
        <w:t xml:space="preserve"> This directly validates Apple management's warning that memory costs will drive an "increasing impact" beyond the June quarter. MU also noted that "the PC and smartphone industry revenue is expected to grow despite unit volume declines, reflecting resilient demand for high-end devices at higher prices" — a positive read-through for Apple's premium iPhone positioning. On AI in smartphones, MU expects that "the value of on-device AI, combined with pent-up unit replacement demand, will drive memory demand growth in PCs and smartphones" — supporting the Apple Intelligence upgrade cycle thesis. The </w:t>
      </w:r>
      <w:r>
        <w:rPr>
          <w:rFonts w:ascii="Calibri" w:hAnsi="Calibri"/>
          <w:b/>
          <w:color w:val="525866"/>
          <w:sz w:val="22"/>
        </w:rPr>
        <w:t>structural memory supply constraint (no line of sight on when supply can catch up with demand)</w:t>
      </w:r>
      <w:r>
        <w:rPr>
          <w:rFonts w:ascii="Calibri" w:hAnsi="Calibri"/>
          <w:color w:val="525866"/>
          <w:sz w:val="22"/>
        </w:rPr>
        <w:t xml:space="preserve"> is the single most important industry-level risk for AAPL's FY27 gross margin.</w:t>
      </w:r>
    </w:p>
    <w:p>
      <w:pPr>
        <w:pStyle w:val="Heading3"/>
      </w:pPr>
      <w:r>
        <w:rPr>
          <w:rFonts w:ascii="Calibri" w:hAnsi="Calibri"/>
          <w:b/>
          <w:color w:val="3B4259"/>
          <w:sz w:val="24"/>
        </w:rPr>
        <w:t>TSMC (TSM) — Earnings Call July 16, 2026</w:t>
      </w:r>
    </w:p>
    <w:p>
      <w:r>
        <w:rPr>
          <w:rFonts w:ascii="Calibri" w:hAnsi="Calibri"/>
          <w:color w:val="525866"/>
          <w:sz w:val="22"/>
        </w:rPr>
        <w:t xml:space="preserve">TSMC's Q2 2026 earnings call provided important context on leading-edge semiconductor supply — the primary constraint Apple flagged for both iPhone and Mac in Q3. TSMC noted that "AI-related demand continues to be extremely robust" and that demand for 3nm and below technologies has a </w:t>
      </w:r>
      <w:r>
        <w:rPr>
          <w:rFonts w:ascii="Calibri" w:hAnsi="Calibri"/>
          <w:b/>
          <w:color w:val="525866"/>
          <w:sz w:val="22"/>
        </w:rPr>
        <w:t>"very big" gap vs. supply</w:t>
      </w:r>
      <w:r>
        <w:rPr>
          <w:rFonts w:ascii="Calibri" w:hAnsi="Calibri"/>
          <w:color w:val="525866"/>
          <w:sz w:val="22"/>
        </w:rPr>
        <w:t xml:space="preserve">. The company raised its full-year 2026 CapEx budget to $60–64B (from $52–56B initially), driven by "demand continuing to increase." TSMC's CFO noted being "jealous" of memory companies' 86% gross margins — a candid acknowledgment of the pricing power memory suppliers currently hold, which directly translates to Apple's cost headwind. TSMC also confirmed that its A14 technology (next-generation nanosheet transistors) is "on track," with pre-production in 2027 and volume production in 2028 — relevant for Apple's A20 chip roadmap. The steep ramp of 2nm technology is expected to </w:t>
      </w:r>
      <w:r>
        <w:rPr>
          <w:rFonts w:ascii="Calibri" w:hAnsi="Calibri"/>
          <w:b/>
          <w:color w:val="525866"/>
          <w:sz w:val="22"/>
        </w:rPr>
        <w:t>dilute TSMC's own gross margin by 3–4 percentage points in Q3</w:t>
      </w:r>
      <w:r>
        <w:rPr>
          <w:rFonts w:ascii="Calibri" w:hAnsi="Calibri"/>
          <w:color w:val="525866"/>
          <w:sz w:val="22"/>
        </w:rPr>
        <w:t>, suggesting the leading-edge supply environment remains tight. TSMC also noted that "consumer and price-sensitive end market segments are being challenged due to the impact of rising component prices" — a headwind for lower-tier smartphone demand that reinforces Apple's premium positioning advantage.</w:t>
      </w:r>
    </w:p>
    <w:p>
      <w:pPr>
        <w:pStyle w:val="Heading3"/>
      </w:pPr>
      <w:r>
        <w:rPr>
          <w:rFonts w:ascii="Calibri" w:hAnsi="Calibri"/>
          <w:b/>
          <w:color w:val="3B4259"/>
          <w:sz w:val="24"/>
        </w:rPr>
        <w:t>Cirrus Logic (CRUS) — Earnings Call May 6, 2026</w:t>
      </w:r>
    </w:p>
    <w:p>
      <w:r>
        <w:rPr>
          <w:rFonts w:ascii="Calibri" w:hAnsi="Calibri"/>
          <w:color w:val="525866"/>
          <w:sz w:val="22"/>
        </w:rPr>
        <w:t xml:space="preserve">Cirrus Logic, Apple's primary audio chip supplier, provided a constructive read-through for the June quarter. CRUS guided Q1 FY27 (June quarter) revenue of $430–490M, which is </w:t>
      </w:r>
      <w:r>
        <w:rPr>
          <w:rFonts w:ascii="Calibri" w:hAnsi="Calibri"/>
          <w:b/>
          <w:color w:val="525866"/>
          <w:sz w:val="22"/>
        </w:rPr>
        <w:t>"a little stronger than the typical average for this quarter,"</w:t>
      </w:r>
      <w:r>
        <w:rPr>
          <w:rFonts w:ascii="Calibri" w:hAnsi="Calibri"/>
          <w:color w:val="525866"/>
          <w:sz w:val="22"/>
        </w:rPr>
        <w:t xml:space="preserve"> attributing the strength to "the continued strength of our customers' current products" and "a greater proportion of our content being ramped a little earlier than in the past." This </w:t>
      </w:r>
      <w:r>
        <w:rPr>
          <w:rFonts w:ascii="Calibri" w:hAnsi="Calibri"/>
          <w:b/>
          <w:color w:val="525866"/>
          <w:sz w:val="22"/>
        </w:rPr>
        <w:t>early content ramp is a positive signal for iPhone 17 family demand momentum</w:t>
      </w:r>
      <w:r>
        <w:rPr>
          <w:rFonts w:ascii="Calibri" w:hAnsi="Calibri"/>
          <w:color w:val="525866"/>
          <w:sz w:val="22"/>
        </w:rPr>
        <w:t xml:space="preserve"> continuing into the June quarter. CRUS also noted that it anticipates "a smaller delta between the June and September quarters than what we've seen in the past" — suggesting the iPhone ramp is more front-loaded this cycle, which could be a positive for AAPL's Q3 revenue. Additionally, CRUS disclosed a collaboration with Apple on a "solution to support Face ID implementations in future products" — a smart power IC for 3D sensing — signaling continued deep integration and content expansion in future iPhone generations. CRUS also joined Apple's American manufacturing program, working with GlobalFoundries to develop new process technologies at the Malta, New York facility, aligning with Apple's US manufacturing investment narrative.</w:t>
      </w:r>
    </w:p>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b/>
          <w:color w:val="525866"/>
          <w:sz w:val="22"/>
        </w:rPr>
        <w:t xml:space="preserve">No open-market buys from insiders since the April 30 earnings print. The only notable activity is a </w:t>
      </w:r>
      <w:r>
        <w:rPr>
          <w:rFonts w:ascii="Calibri" w:hAnsi="Calibri"/>
          <w:b/>
          <w:color w:val="525866"/>
          <w:sz w:val="22"/>
        </w:rPr>
        <w:t>large discretionary sale by Director Arthur Levinson (250,000 shares, ~$73.3M)</w:t>
      </w:r>
      <w:r>
        <w:rPr>
          <w:rFonts w:ascii="Calibri" w:hAnsi="Calibri"/>
          <w:b/>
          <w:color w:val="525866"/>
          <w:sz w:val="22"/>
        </w:rPr>
        <w:t xml:space="preserve"> on May 6, 2026 — shortly after the Q2 earnings beat — and routine RSU vesting/tax withholding transactions for other insiders. No clustered buying signals.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Est. Value</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Filing Date</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Arthur D. Levinson</w:t>
            </w:r>
          </w:p>
        </w:tc>
        <w:tc>
          <w:tcPr>
            <w:tcW w:type="dxa" w:w="1080"/>
          </w:tcPr>
          <w:p>
            <w:r>
              <w:rPr>
                <w:rFonts w:ascii="Calibri" w:hAnsi="Calibri"/>
                <w:sz w:val="22"/>
              </w:rPr>
              <w:t>Director</w:t>
            </w:r>
          </w:p>
        </w:tc>
        <w:tc>
          <w:tcPr>
            <w:tcW w:type="dxa" w:w="1080"/>
          </w:tcPr>
          <w:p>
            <w:r>
              <w:rPr>
                <w:rFonts w:ascii="Calibri" w:hAnsi="Calibri"/>
                <w:sz w:val="22"/>
              </w:rPr>
              <w:t>Open Market Sale</w:t>
            </w:r>
          </w:p>
        </w:tc>
        <w:tc>
          <w:tcPr>
            <w:tcW w:type="dxa" w:w="1080"/>
          </w:tcPr>
          <w:p>
            <w:r>
              <w:rPr>
                <w:rFonts w:ascii="Calibri" w:hAnsi="Calibri"/>
                <w:sz w:val="22"/>
              </w:rPr>
              <w:t>250,000</w:t>
            </w:r>
          </w:p>
        </w:tc>
        <w:tc>
          <w:tcPr>
            <w:tcW w:type="dxa" w:w="1080"/>
          </w:tcPr>
          <w:p>
            <w:r>
              <w:rPr>
                <w:rFonts w:ascii="Calibri" w:hAnsi="Calibri"/>
                <w:sz w:val="22"/>
              </w:rPr>
              <w:t>~$73.3M</w:t>
            </w:r>
          </w:p>
        </w:tc>
        <w:tc>
          <w:tcPr>
            <w:tcW w:type="dxa" w:w="1080"/>
          </w:tcPr>
          <w:p>
            <w:r>
              <w:rPr>
                <w:rFonts w:ascii="Calibri" w:hAnsi="Calibri"/>
                <w:sz w:val="22"/>
              </w:rPr>
              <w:t>May 6, 2026</w:t>
            </w:r>
          </w:p>
        </w:tc>
        <w:tc>
          <w:tcPr>
            <w:tcW w:type="dxa" w:w="1080"/>
          </w:tcPr>
          <w:p>
            <w:r>
              <w:rPr>
                <w:rFonts w:ascii="Calibri" w:hAnsi="Calibri"/>
                <w:sz w:val="22"/>
              </w:rPr>
              <w:t>May 8, 2026</w:t>
            </w:r>
          </w:p>
        </w:tc>
        <w:tc>
          <w:tcPr>
            <w:tcW w:type="dxa" w:w="1080"/>
          </w:tcPr>
          <w:p>
            <w:r>
              <w:rPr>
                <w:rFonts w:ascii="Calibri" w:hAnsi="Calibri"/>
                <w:sz w:val="22"/>
              </w:rPr>
              <w:t>Discretionary sale; no 10b5-1 plan indicated</w:t>
            </w:r>
          </w:p>
        </w:tc>
      </w:tr>
      <w:tr>
        <w:tc>
          <w:tcPr>
            <w:tcW w:type="dxa" w:w="1080"/>
          </w:tcPr>
          <w:p>
            <w:r>
              <w:rPr>
                <w:rFonts w:ascii="Calibri" w:hAnsi="Calibri"/>
                <w:sz w:val="22"/>
              </w:rPr>
              <w:t>Arthur D. Levinson</w:t>
            </w:r>
          </w:p>
        </w:tc>
        <w:tc>
          <w:tcPr>
            <w:tcW w:type="dxa" w:w="1080"/>
          </w:tcPr>
          <w:p>
            <w:r>
              <w:rPr>
                <w:rFonts w:ascii="Calibri" w:hAnsi="Calibri"/>
                <w:sz w:val="22"/>
              </w:rPr>
              <w:t>Director</w:t>
            </w:r>
          </w:p>
        </w:tc>
        <w:tc>
          <w:tcPr>
            <w:tcW w:type="dxa" w:w="1080"/>
          </w:tcPr>
          <w:p>
            <w:r>
              <w:rPr>
                <w:rFonts w:ascii="Calibri" w:hAnsi="Calibri"/>
                <w:sz w:val="22"/>
              </w:rPr>
              <w:t>Gift / Transfer</w:t>
            </w:r>
          </w:p>
        </w:tc>
        <w:tc>
          <w:tcPr>
            <w:tcW w:type="dxa" w:w="1080"/>
          </w:tcPr>
          <w:p>
            <w:r>
              <w:rPr>
                <w:rFonts w:ascii="Calibri" w:hAnsi="Calibri"/>
                <w:sz w:val="22"/>
              </w:rPr>
              <w:t>5,000</w:t>
            </w:r>
          </w:p>
        </w:tc>
        <w:tc>
          <w:tcPr>
            <w:tcW w:type="dxa" w:w="1080"/>
          </w:tcPr>
          <w:p>
            <w:r>
              <w:rPr>
                <w:rFonts w:ascii="Calibri" w:hAnsi="Calibri"/>
                <w:sz w:val="22"/>
              </w:rPr>
              <w:t>~$1.5M</w:t>
            </w:r>
          </w:p>
        </w:tc>
        <w:tc>
          <w:tcPr>
            <w:tcW w:type="dxa" w:w="1080"/>
          </w:tcPr>
          <w:p>
            <w:r>
              <w:rPr>
                <w:rFonts w:ascii="Calibri" w:hAnsi="Calibri"/>
                <w:sz w:val="22"/>
              </w:rPr>
              <w:t>May 6, 2026</w:t>
            </w:r>
          </w:p>
        </w:tc>
        <w:tc>
          <w:tcPr>
            <w:tcW w:type="dxa" w:w="1080"/>
          </w:tcPr>
          <w:p>
            <w:r>
              <w:rPr>
                <w:rFonts w:ascii="Calibri" w:hAnsi="Calibri"/>
                <w:sz w:val="22"/>
              </w:rPr>
              <w:t>May 8, 2026</w:t>
            </w:r>
          </w:p>
        </w:tc>
        <w:tc>
          <w:tcPr>
            <w:tcW w:type="dxa" w:w="1080"/>
          </w:tcPr>
          <w:p>
            <w:r>
              <w:rPr>
                <w:rFonts w:ascii="Calibri" w:hAnsi="Calibri"/>
                <w:sz w:val="22"/>
              </w:rPr>
              <w:t>Gift of shares; non-discretionary disposition</w:t>
            </w:r>
          </w:p>
        </w:tc>
      </w:tr>
      <w:tr>
        <w:tc>
          <w:tcPr>
            <w:tcW w:type="dxa" w:w="1080"/>
          </w:tcPr>
          <w:p>
            <w:r>
              <w:rPr>
                <w:rFonts w:ascii="Calibri" w:hAnsi="Calibri"/>
                <w:sz w:val="22"/>
              </w:rPr>
              <w:t>Ben Borders</w:t>
            </w:r>
          </w:p>
        </w:tc>
        <w:tc>
          <w:tcPr>
            <w:tcW w:type="dxa" w:w="1080"/>
          </w:tcPr>
          <w:p>
            <w:r>
              <w:rPr>
                <w:rFonts w:ascii="Calibri" w:hAnsi="Calibri"/>
                <w:sz w:val="22"/>
              </w:rPr>
              <w:t>Principal Accounting Officer</w:t>
            </w:r>
          </w:p>
        </w:tc>
        <w:tc>
          <w:tcPr>
            <w:tcW w:type="dxa" w:w="1080"/>
          </w:tcPr>
          <w:p>
            <w:r>
              <w:rPr>
                <w:rFonts w:ascii="Calibri" w:hAnsi="Calibri"/>
                <w:sz w:val="22"/>
              </w:rPr>
              <w:t>Open Market Sale</w:t>
            </w:r>
          </w:p>
        </w:tc>
        <w:tc>
          <w:tcPr>
            <w:tcW w:type="dxa" w:w="1080"/>
          </w:tcPr>
          <w:p>
            <w:r>
              <w:rPr>
                <w:rFonts w:ascii="Calibri" w:hAnsi="Calibri"/>
                <w:sz w:val="22"/>
              </w:rPr>
              <w:t>1,274</w:t>
            </w:r>
          </w:p>
        </w:tc>
        <w:tc>
          <w:tcPr>
            <w:tcW w:type="dxa" w:w="1080"/>
          </w:tcPr>
          <w:p>
            <w:r>
              <w:rPr>
                <w:rFonts w:ascii="Calibri" w:hAnsi="Calibri"/>
                <w:sz w:val="22"/>
              </w:rPr>
              <w:t>~$373K</w:t>
            </w:r>
          </w:p>
        </w:tc>
        <w:tc>
          <w:tcPr>
            <w:tcW w:type="dxa" w:w="1080"/>
          </w:tcPr>
          <w:p>
            <w:r>
              <w:rPr>
                <w:rFonts w:ascii="Calibri" w:hAnsi="Calibri"/>
                <w:sz w:val="22"/>
              </w:rPr>
              <w:t>May 8, 2026</w:t>
            </w:r>
          </w:p>
        </w:tc>
        <w:tc>
          <w:tcPr>
            <w:tcW w:type="dxa" w:w="1080"/>
          </w:tcPr>
          <w:p>
            <w:r>
              <w:rPr>
                <w:rFonts w:ascii="Calibri" w:hAnsi="Calibri"/>
                <w:sz w:val="22"/>
              </w:rPr>
              <w:t>May 12, 2026</w:t>
            </w:r>
          </w:p>
        </w:tc>
        <w:tc>
          <w:tcPr>
            <w:tcW w:type="dxa" w:w="1080"/>
          </w:tcPr>
          <w:p>
            <w:r>
              <w:rPr>
                <w:rFonts w:ascii="Calibri" w:hAnsi="Calibri"/>
                <w:sz w:val="22"/>
              </w:rPr>
              <w:t>10b5-1 planned sale</w:t>
            </w:r>
          </w:p>
        </w:tc>
      </w:tr>
      <w:tr>
        <w:tc>
          <w:tcPr>
            <w:tcW w:type="dxa" w:w="1080"/>
          </w:tcPr>
          <w:p>
            <w:r>
              <w:rPr>
                <w:rFonts w:ascii="Calibri" w:hAnsi="Calibri"/>
                <w:sz w:val="22"/>
              </w:rPr>
              <w:t>Arthur D. Levinson</w:t>
            </w:r>
          </w:p>
        </w:tc>
        <w:tc>
          <w:tcPr>
            <w:tcW w:type="dxa" w:w="1080"/>
          </w:tcPr>
          <w:p>
            <w:r>
              <w:rPr>
                <w:rFonts w:ascii="Calibri" w:hAnsi="Calibri"/>
                <w:sz w:val="22"/>
              </w:rPr>
              <w:t>Director</w:t>
            </w:r>
          </w:p>
        </w:tc>
        <w:tc>
          <w:tcPr>
            <w:tcW w:type="dxa" w:w="1080"/>
          </w:tcPr>
          <w:p>
            <w:r>
              <w:rPr>
                <w:rFonts w:ascii="Calibri" w:hAnsi="Calibri"/>
                <w:sz w:val="22"/>
              </w:rPr>
              <w:t>Gift / Transfer</w:t>
            </w:r>
          </w:p>
        </w:tc>
        <w:tc>
          <w:tcPr>
            <w:tcW w:type="dxa" w:w="1080"/>
          </w:tcPr>
          <w:p>
            <w:r>
              <w:rPr>
                <w:rFonts w:ascii="Calibri" w:hAnsi="Calibri"/>
                <w:sz w:val="22"/>
              </w:rPr>
              <w:t>65,000</w:t>
            </w:r>
          </w:p>
        </w:tc>
        <w:tc>
          <w:tcPr>
            <w:tcW w:type="dxa" w:w="1080"/>
          </w:tcPr>
          <w:p>
            <w:r>
              <w:rPr>
                <w:rFonts w:ascii="Calibri" w:hAnsi="Calibri"/>
                <w:sz w:val="22"/>
              </w:rPr>
              <w:t>~$20.3M</w:t>
            </w:r>
          </w:p>
        </w:tc>
        <w:tc>
          <w:tcPr>
            <w:tcW w:type="dxa" w:w="1080"/>
          </w:tcPr>
          <w:p>
            <w:r>
              <w:rPr>
                <w:rFonts w:ascii="Calibri" w:hAnsi="Calibri"/>
                <w:sz w:val="22"/>
              </w:rPr>
              <w:t>May 27, 2026</w:t>
            </w:r>
          </w:p>
        </w:tc>
        <w:tc>
          <w:tcPr>
            <w:tcW w:type="dxa" w:w="1080"/>
          </w:tcPr>
          <w:p>
            <w:r>
              <w:rPr>
                <w:rFonts w:ascii="Calibri" w:hAnsi="Calibri"/>
                <w:sz w:val="22"/>
              </w:rPr>
              <w:t>May 29, 2026</w:t>
            </w:r>
          </w:p>
        </w:tc>
        <w:tc>
          <w:tcPr>
            <w:tcW w:type="dxa" w:w="1080"/>
          </w:tcPr>
          <w:p>
            <w:r>
              <w:rPr>
                <w:rFonts w:ascii="Calibri" w:hAnsi="Calibri"/>
                <w:sz w:val="22"/>
              </w:rPr>
              <w:t>Gift of shares; non-discretionary disposition</w:t>
            </w:r>
          </w:p>
        </w:tc>
      </w:tr>
      <w:tr>
        <w:tc>
          <w:tcPr>
            <w:tcW w:type="dxa" w:w="1080"/>
          </w:tcPr>
          <w:p>
            <w:r>
              <w:rPr>
                <w:rFonts w:ascii="Calibri" w:hAnsi="Calibri"/>
                <w:sz w:val="22"/>
              </w:rPr>
              <w:t>Jennifer Newstead</w:t>
            </w:r>
          </w:p>
        </w:tc>
        <w:tc>
          <w:tcPr>
            <w:tcW w:type="dxa" w:w="1080"/>
          </w:tcPr>
          <w:p>
            <w:r>
              <w:rPr>
                <w:rFonts w:ascii="Calibri" w:hAnsi="Calibri"/>
                <w:sz w:val="22"/>
              </w:rPr>
              <w:t>SVP, GC and Secretary</w:t>
            </w:r>
          </w:p>
        </w:tc>
        <w:tc>
          <w:tcPr>
            <w:tcW w:type="dxa" w:w="1080"/>
          </w:tcPr>
          <w:p>
            <w:r>
              <w:rPr>
                <w:rFonts w:ascii="Calibri" w:hAnsi="Calibri"/>
                <w:sz w:val="22"/>
              </w:rPr>
              <w:t>RSU Vesting / Tax Withholding</w:t>
            </w:r>
          </w:p>
        </w:tc>
        <w:tc>
          <w:tcPr>
            <w:tcW w:type="dxa" w:w="1080"/>
          </w:tcPr>
          <w:p>
            <w:r>
              <w:rPr>
                <w:rFonts w:ascii="Calibri" w:hAnsi="Calibri"/>
                <w:sz w:val="22"/>
              </w:rPr>
              <w:t>30,104 vested / 16,238 withheld</w:t>
            </w:r>
          </w:p>
        </w:tc>
        <w:tc>
          <w:tcPr>
            <w:tcW w:type="dxa" w:w="1080"/>
          </w:tcPr>
          <w:p>
            <w:r>
              <w:rPr>
                <w:rFonts w:ascii="Calibri" w:hAnsi="Calibri"/>
                <w:sz w:val="22"/>
              </w:rPr>
              <w:t>~$4.8M withheld</w:t>
            </w:r>
          </w:p>
        </w:tc>
        <w:tc>
          <w:tcPr>
            <w:tcW w:type="dxa" w:w="1080"/>
          </w:tcPr>
          <w:p>
            <w:r>
              <w:rPr>
                <w:rFonts w:ascii="Calibri" w:hAnsi="Calibri"/>
                <w:sz w:val="22"/>
              </w:rPr>
              <w:t>June 15, 2026</w:t>
            </w:r>
          </w:p>
        </w:tc>
        <w:tc>
          <w:tcPr>
            <w:tcW w:type="dxa" w:w="1080"/>
          </w:tcPr>
          <w:p>
            <w:r>
              <w:rPr>
                <w:rFonts w:ascii="Calibri" w:hAnsi="Calibri"/>
                <w:sz w:val="22"/>
              </w:rPr>
              <w:t>June 17, 2026</w:t>
            </w:r>
          </w:p>
        </w:tc>
        <w:tc>
          <w:tcPr>
            <w:tcW w:type="dxa" w:w="1080"/>
          </w:tcPr>
          <w:p>
            <w:r>
              <w:rPr>
                <w:rFonts w:ascii="Calibri" w:hAnsi="Calibri"/>
                <w:sz w:val="22"/>
              </w:rPr>
              <w:t>Routine RSU vesting; tax withholding not discretionary</w:t>
            </w:r>
          </w:p>
        </w:tc>
      </w:tr>
      <w:tr>
        <w:tc>
          <w:tcPr>
            <w:tcW w:type="dxa" w:w="1080"/>
          </w:tcPr>
          <w:p>
            <w:r>
              <w:rPr>
                <w:rFonts w:ascii="Calibri" w:hAnsi="Calibri"/>
                <w:sz w:val="22"/>
              </w:rPr>
              <w:t>Ben Borders</w:t>
            </w:r>
          </w:p>
        </w:tc>
        <w:tc>
          <w:tcPr>
            <w:tcW w:type="dxa" w:w="1080"/>
          </w:tcPr>
          <w:p>
            <w:r>
              <w:rPr>
                <w:rFonts w:ascii="Calibri" w:hAnsi="Calibri"/>
                <w:sz w:val="22"/>
              </w:rPr>
              <w:t>Principal Accounting Officer</w:t>
            </w:r>
          </w:p>
        </w:tc>
        <w:tc>
          <w:tcPr>
            <w:tcW w:type="dxa" w:w="1080"/>
          </w:tcPr>
          <w:p>
            <w:r>
              <w:rPr>
                <w:rFonts w:ascii="Calibri" w:hAnsi="Calibri"/>
                <w:sz w:val="22"/>
              </w:rPr>
              <w:t>RSU Vesting / Tax Withholding</w:t>
            </w:r>
          </w:p>
        </w:tc>
        <w:tc>
          <w:tcPr>
            <w:tcW w:type="dxa" w:w="1080"/>
          </w:tcPr>
          <w:p>
            <w:r>
              <w:rPr>
                <w:rFonts w:ascii="Calibri" w:hAnsi="Calibri"/>
                <w:sz w:val="22"/>
              </w:rPr>
              <w:t>240 vested / 116 withheld</w:t>
            </w:r>
          </w:p>
        </w:tc>
        <w:tc>
          <w:tcPr>
            <w:tcW w:type="dxa" w:w="1080"/>
          </w:tcPr>
          <w:p>
            <w:r>
              <w:rPr>
                <w:rFonts w:ascii="Calibri" w:hAnsi="Calibri"/>
                <w:sz w:val="22"/>
              </w:rPr>
              <w:t>~$34K withheld</w:t>
            </w:r>
          </w:p>
        </w:tc>
        <w:tc>
          <w:tcPr>
            <w:tcW w:type="dxa" w:w="1080"/>
          </w:tcPr>
          <w:p>
            <w:r>
              <w:rPr>
                <w:rFonts w:ascii="Calibri" w:hAnsi="Calibri"/>
                <w:sz w:val="22"/>
              </w:rPr>
              <w:t>June 15–16, 2026</w:t>
            </w:r>
          </w:p>
        </w:tc>
        <w:tc>
          <w:tcPr>
            <w:tcW w:type="dxa" w:w="1080"/>
          </w:tcPr>
          <w:p>
            <w:r>
              <w:rPr>
                <w:rFonts w:ascii="Calibri" w:hAnsi="Calibri"/>
                <w:sz w:val="22"/>
              </w:rPr>
              <w:t>June 17, 2026</w:t>
            </w:r>
          </w:p>
        </w:tc>
        <w:tc>
          <w:tcPr>
            <w:tcW w:type="dxa" w:w="1080"/>
          </w:tcPr>
          <w:p>
            <w:r>
              <w:rPr>
                <w:rFonts w:ascii="Calibri" w:hAnsi="Calibri"/>
                <w:sz w:val="22"/>
              </w:rPr>
              <w:t>Routine RSU vesting; 10b5-1 plan</w:t>
            </w:r>
          </w:p>
        </w:tc>
      </w:tr>
    </w:tbl>
    <w:p>
      <w:r>
        <w:rPr>
          <w:rFonts w:ascii="Calibri" w:hAnsi="Calibri"/>
          <w:i/>
          <w:color w:val="525866"/>
          <w:sz w:val="22"/>
        </w:rPr>
        <w:t>The most notable transaction is Director Arthur Levinson's discretionary sale of 250,000 shares (~$73.3M at ~$293/share) on May 6, 2026 — shortly after the Q2 earnings beat. While large in dollar terms, Levinson retains approximately 3.8M shares, and the sale represents ~6% of his holdings. No open-market buys from any insider since the April 30 print. The absence of insider buying at current levels (stock up ~25% since earnings) is not alarming given the stock's strong run, but it is worth noting that no insider has stepped in to add exposure at these prices.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