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bbv-earnings-predictions--2026-07-31"/>
    <w:p>
      <w:pPr>
        <w:pStyle w:val="Heading1"/>
      </w:pPr>
      <w:r>
        <w:t xml:space="preserve">ABBV Earnings Predictions — 2026-07-31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ABBV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~$3.68 vs. cons $3.66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ABBV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Net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~$17.0B vs. cons $16.81B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ABBV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Skyrizi Q2 2026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~$5.0B vs. cons $4.85B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ABBV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~$14.15-14.25 vs. cons $14.18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ABBV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Net Revenue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~$67.5B vs. cons $67.3B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ABBV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Skyrizi/Rinvoq combined sales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32.2</m:t>
              </m:r>
              <m:r>
                <m:t>B</m:t>
              </m:r>
              <m:r>
                <m:rPr>
                  <m:sty m:val="p"/>
                </m:rPr>
                <m:t>(</m:t>
              </m:r>
              <m:r>
                <m:t>S</m:t>
              </m:r>
              <m:r>
                <m:t>k</m:t>
              </m:r>
              <m:r>
                <m:t>y</m:t>
              </m:r>
              <m:r>
                <m:t>r</m:t>
              </m:r>
              <m:r>
                <m:t>i</m:t>
              </m:r>
              <m:r>
                <m:t>z</m:t>
              </m:r>
              <m:r>
                <m:t>i</m:t>
              </m:r>
              <m:r>
                <m:t> </m:t>
              </m:r>
            </m:oMath>
            <w:r>
              <w:t xml:space="preserve">21.9B + Rinvoq ~</w:t>
            </w:r>
            <m:oMath>
              <m:r>
                <m:t>10.3</m:t>
              </m:r>
              <m:r>
                <m:t>B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31.6B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ABBV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EPS Guidance (initial print)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~$3.70 vs. cons $3.68 (Q3 2026, pending IPR&amp;D charges)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ABBV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ABBV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+0.3% (FADE)</w:t>
            </w:r>
          </w:p>
        </w:tc>
        <w:tc>
          <w:tcPr/>
          <w:p>
            <w:pPr>
              <w:pStyle w:val="Compact"/>
            </w:pPr>
            <w:r>
              <w:t xml:space="preserve">Underlying beat-and-raise in immunology (Skyrizi/Rinvoq) likely drives an initial positive pop, but with the stock already up ~28% into the print and near/above sell-side targets, the reduced $3.57-3.61 guide optics and repeated IPR&amp;D/milestone charges (Apogee dilutive to 2032) give analysts room to trim near-term EPS even while nudging long-term Skyrizi/Rinvoq estimates higher — a mixed revisions picture that tends to fade an initial pop as profit-taking sets in over the following days rather than sustain follow-through.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2026-07-31T00:19:10Z</dcterms:created>
  <dcterms:modified xsi:type="dcterms:W3CDTF">2026-07-31T00:19:10Z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