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bbv-earnings-predictions--2026-07-31"/>
    <w:p>
      <w:pPr>
        <w:pStyle w:val="Heading1"/>
      </w:pPr>
      <w:r>
        <w:t xml:space="preserve">ABBV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~$3.66 vs. cons $3.60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Global Skyrizi 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~$5.18B vs. cons $5.05B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Worldwide net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~$16.82B vs. cons $16.70B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diluted EPS guidance, including disclosed acquired-I PR&amp;D and milestones charges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~$14.16 vs. cons $14.08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worldwide net-revenue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~$67.5B vs. cons $67.4B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Skyrizi revenue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~$21.8B vs. cons $21.6B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+2.8% (FOLLOW-THROUGH)</w:t>
            </w:r>
          </w:p>
        </w:tc>
        <w:tc>
          <w:tcPr/>
          <w:p>
            <w:pPr>
              <w:pStyle w:val="Compact"/>
            </w:pPr>
            <w:r>
              <w:t xml:space="preserve">A ~$0.06 EPS beat versus</w:t>
            </w:r>
            <w:r>
              <w:t xml:space="preserve"> </w:t>
            </w:r>
            <m:oMath>
              <m:r>
                <m:t>3.60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p</m:t>
              </m:r>
              <m:r>
                <m:t>l</m:t>
              </m:r>
              <m:r>
                <m:t>u</m:t>
              </m:r>
              <m:r>
                <m:t>s</m:t>
              </m:r>
              <m:r>
                <m:t>a</m:t>
              </m:r>
              <m:r>
                <m:t> </m:t>
              </m:r>
            </m:oMath>
            <w:r>
              <w:t xml:space="preserve">0.10 FY26 EPS-guide raise versus</w:t>
            </w:r>
            <w:r>
              <w:t xml:space="preserve"> </w:t>
            </w:r>
            <m:oMath>
              <m:r>
                <m:t>14.08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l</m:t>
              </m:r>
              <m:r>
                <m:t>i</m:t>
              </m:r>
              <m:r>
                <m:t>f</m:t>
              </m:r>
              <m:r>
                <m:t>t</m:t>
              </m:r>
              <m:r>
                <m:t>o</m:t>
              </m:r>
              <m:r>
                <m:t>u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e</m:t>
              </m:r>
              <m:r>
                <m:t>r</m:t>
              </m:r>
              <m:r>
                <m:t>i</m:t>
              </m:r>
              <m:r>
                <m:t>o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s</m:t>
              </m:r>
              <m:r>
                <m:rPr>
                  <m:sty m:val="p"/>
                </m:rPr>
                <m:t>;</m:t>
              </m:r>
              <m:r>
                <m:t>S</m:t>
              </m:r>
              <m:r>
                <m:t>k</m:t>
              </m:r>
              <m:r>
                <m:t>y</m:t>
              </m:r>
              <m:r>
                <m:t>r</m:t>
              </m:r>
              <m:r>
                <m:t>i</m:t>
              </m:r>
              <m:r>
                <m:t>z</m:t>
              </m:r>
              <m:r>
                <m:t>i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5.18B versus</w:t>
            </w:r>
            <w:r>
              <w:t xml:space="preserve"> </w:t>
            </w:r>
            <m:oMath>
              <m:r>
                <m:t>5.05</m:t>
              </m:r>
              <m:r>
                <m:t>B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s</m:t>
              </m:r>
              <m:r>
                <m:t>a</m:t>
              </m:r>
              <m:r>
                <m:t>h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r</m:t>
              </m:r>
              <m:r>
                <m:t> </m:t>
              </m:r>
            </m:oMath>
            <w:r>
              <w:t xml:space="preserve">21.8B FY26 outlook versus $21.6B consensus, making the beat more durable than a charge-driven EPS variance.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2026-07-31T00:15:42Z</dcterms:created>
  <dcterms:modified xsi:type="dcterms:W3CDTF">2026-07-31T00:15:42Z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