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abbvie-abbv--2q26-earnings-preview"/>
    <w:p>
      <w:pPr>
        <w:pStyle w:val="Heading1"/>
      </w:pPr>
      <w:r>
        <w:t xml:space="preserve">AbbVie (ABBV) — 2Q26 Earnings Preview</w:t>
      </w:r>
    </w:p>
    <w:p>
      <w:pPr>
        <w:pStyle w:val="BlockText"/>
      </w:pPr>
      <w:r>
        <w:rPr>
          <w:b/>
          <w:bCs/>
        </w:rPr>
        <w:t xml:space="preserve">Timing clarification:</w:t>
      </w:r>
      <w:r>
        <w:t xml:space="preserve"> </w:t>
      </w:r>
      <w:r>
        <w:t xml:space="preserve">AbbVie is scheduled to report</w:t>
      </w:r>
      <w:r>
        <w:t xml:space="preserve"> </w:t>
      </w:r>
      <w:r>
        <w:rPr>
          <w:b/>
          <w:bCs/>
        </w:rPr>
        <w:t xml:space="preserve">today, Friday, July 31, 2026, before the U.S. market opens</w:t>
      </w:r>
      <w:r>
        <w:t xml:space="preserve">, followed by an</w:t>
      </w:r>
      <w:r>
        <w:t xml:space="preserve"> </w:t>
      </w:r>
      <w:r>
        <w:rPr>
          <w:b/>
          <w:bCs/>
        </w:rPr>
        <w:t xml:space="preserve">8:00 a.m. CT</w:t>
      </w:r>
      <w:r>
        <w:t xml:space="preserve"> </w:t>
      </w:r>
      <w:r>
        <w:t xml:space="preserve">earnings call—not tomorrow. The event is AbbVie’s</w:t>
      </w:r>
      <w:r>
        <w:t xml:space="preserve"> </w:t>
      </w:r>
      <w:r>
        <w:rPr>
          <w:b/>
          <w:bCs/>
        </w:rPr>
        <w:t xml:space="preserve">2Q26 earnings release and call</w:t>
      </w:r>
      <w:r>
        <w:t xml:space="preserve">.</w:t>
      </w:r>
    </w:p>
    <w:bookmarkStart w:id="9" w:name="X60dda53f1cb163ad1c262eb40cfabbfb1fc2451"/>
    <w:p>
      <w:pPr>
        <w:pStyle w:val="Heading2"/>
      </w:pPr>
      <w:r>
        <w:t xml:space="preserve">Investment view: execution versus an already elevated setup</w:t>
      </w:r>
    </w:p>
    <w:p>
      <w:pPr>
        <w:pStyle w:val="FirstParagraph"/>
      </w:pPr>
      <w:r>
        <w:t xml:space="preserve">AbbVie enters 2Q26 with strong operating momentum, particularly in</w:t>
      </w:r>
      <w:r>
        <w:t xml:space="preserve"> </w:t>
      </w:r>
      <w:r>
        <w:rPr>
          <w:b/>
          <w:bCs/>
        </w:rPr>
        <w:t xml:space="preserve">immunology</w:t>
      </w:r>
      <w:r>
        <w:t xml:space="preserve"> </w:t>
      </w:r>
      <w:r>
        <w:t xml:space="preserve">and</w:t>
      </w:r>
      <w:r>
        <w:t xml:space="preserve"> </w:t>
      </w:r>
      <w:r>
        <w:rPr>
          <w:b/>
          <w:bCs/>
        </w:rPr>
        <w:t xml:space="preserve">neuroscience</w:t>
      </w:r>
      <w:r>
        <w:t xml:space="preserve">, and with management having already raised its 2026 revenue and EPS outlook after 1Q. The central question is less whether AbbVie delivers growth—it should—and more whether the quarter provides enough evidence that its two core post-Humira assets,</w:t>
      </w:r>
      <w:r>
        <w:t xml:space="preserve"> </w:t>
      </w:r>
      <w:r>
        <w:rPr>
          <w:b/>
          <w:bCs/>
        </w:rPr>
        <w:t xml:space="preserve">Skyrizi</w:t>
      </w:r>
      <w:r>
        <w:t xml:space="preserve"> </w:t>
      </w:r>
      <w:r>
        <w:t xml:space="preserve">and</w:t>
      </w:r>
      <w:r>
        <w:t xml:space="preserve"> </w:t>
      </w:r>
      <w:r>
        <w:rPr>
          <w:b/>
          <w:bCs/>
        </w:rPr>
        <w:t xml:space="preserve">Rinvoq</w:t>
      </w:r>
      <w:r>
        <w:t xml:space="preserve">, can continue to outperform increasingly ambitious long-term expectations.</w:t>
      </w:r>
    </w:p>
    <w:p>
      <w:pPr>
        <w:pStyle w:val="BodyText"/>
      </w:pPr>
      <w:r>
        <w:t xml:space="preserve">The stock closed at</w:t>
      </w:r>
      <w:r>
        <w:t xml:space="preserve"> </w:t>
      </w:r>
      <w:r>
        <w:rPr>
          <w:b/>
          <w:bCs/>
        </w:rPr>
        <w:t xml:space="preserve">$257.45 on July 30</w:t>
      </w:r>
      <w:r>
        <w:t xml:space="preserve">, up about 2% from June 30 but off its July 29 high of $263.30. That suggests investors remain constructive but are likely focused on the quality and durability of the growth algorithm rather than simply a headline beat.</w:t>
      </w:r>
    </w:p>
    <w:p>
      <w:pPr>
        <w:pStyle w:val="BodyText"/>
      </w:pPr>
      <w:r>
        <w:t xml:space="preserve">Importantly, AbbVie pre-disclosed a</w:t>
      </w:r>
      <w:r>
        <w:t xml:space="preserve"> </w:t>
      </w:r>
      <w:r>
        <w:rPr>
          <w:b/>
          <w:bCs/>
        </w:rPr>
        <w:t xml:space="preserve">$291 million acquired IPR&amp;D and milestones charge</w:t>
      </w:r>
      <w:r>
        <w:t xml:space="preserve"> </w:t>
      </w:r>
      <w:r>
        <w:t xml:space="preserve">for 2Q. Therefore, the appropriate adjusted-EPS comparison is the company’s</w:t>
      </w:r>
      <w:r>
        <w:t xml:space="preserve"> </w:t>
      </w:r>
      <w:r>
        <w:rPr>
          <w:b/>
          <w:bCs/>
        </w:rPr>
        <w:t xml:space="preserve">revised range of</w:t>
      </w:r>
      <w:r>
        <w:rPr>
          <w:b/>
          <w:bCs/>
        </w:rPr>
        <w:t xml:space="preserve"> </w:t>
      </w:r>
      <m:oMath>
        <m:r>
          <m:t>3.57</m:t>
        </m:r>
        <m:r>
          <m:rPr>
            <m:sty m:val="p"/>
          </m:rPr>
          <m:t>–</m:t>
        </m:r>
      </m:oMath>
      <w:r>
        <w:rPr>
          <w:b/>
          <w:bCs/>
        </w:rPr>
        <w:t xml:space="preserve">3.61</w:t>
      </w:r>
      <w:r>
        <w:t xml:space="preserve">, rather than the original</w:t>
      </w:r>
      <w:r>
        <w:t xml:space="preserve"> </w:t>
      </w:r>
      <m:oMath>
        <m:r>
          <m:t>3.74</m:t>
        </m:r>
        <m:r>
          <m:rPr>
            <m:sty m:val="p"/>
          </m:rPr>
          <m:t>–</m:t>
        </m:r>
      </m:oMath>
      <w:r>
        <w:t xml:space="preserve">3.78 range that excluded the new charge. The charge itself should not be interpreted as underlying operating weakness.</w:t>
      </w:r>
    </w:p>
    <w:bookmarkEnd w:id="9"/>
    <w:bookmarkStart w:id="10" w:name="what-management-has-already-guided-to"/>
    <w:p>
      <w:pPr>
        <w:pStyle w:val="Heading2"/>
      </w:pPr>
      <w:r>
        <w:t xml:space="preserve">What management has already guided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2Q26 framework</w:t>
            </w:r>
          </w:p>
        </w:tc>
      </w:tr>
      <w:tr>
        <w:tc>
          <w:tcPr/>
          <w:p>
            <w:pPr>
              <w:pStyle w:val="Compact"/>
            </w:pPr>
            <w:r>
              <w:t xml:space="preserve">Net revenue</w:t>
            </w:r>
          </w:p>
        </w:tc>
        <w:tc>
          <w:tcPr/>
          <w:p>
            <w:pPr>
              <w:pStyle w:val="Compact"/>
              <w:jc w:val="right"/>
            </w:pPr>
            <w:r>
              <w:rPr>
                <w:b/>
                <w:bCs/>
              </w:rPr>
              <w:t xml:space="preserve">~$16.7B</w:t>
            </w:r>
          </w:p>
        </w:tc>
      </w:tr>
      <w:tr>
        <w:tc>
          <w:tcPr/>
          <w:p>
            <w:pPr>
              <w:pStyle w:val="Compact"/>
            </w:pPr>
            <w:r>
              <w:t xml:space="preserve">FX impact on revenue</w:t>
            </w:r>
          </w:p>
        </w:tc>
        <w:tc>
          <w:tcPr/>
          <w:p>
            <w:pPr>
              <w:pStyle w:val="Compact"/>
              <w:jc w:val="right"/>
            </w:pPr>
            <w:r>
              <w:rPr>
                <w:b/>
                <w:bCs/>
              </w:rPr>
              <w:t xml:space="preserve">~0.6% favorable</w:t>
            </w:r>
          </w:p>
        </w:tc>
      </w:tr>
      <w:tr>
        <w:tc>
          <w:tcPr/>
          <w:p>
            <w:pPr>
              <w:pStyle w:val="Compact"/>
            </w:pPr>
            <w:r>
              <w:t xml:space="preserve">Adjusted operating margin</w:t>
            </w:r>
          </w:p>
        </w:tc>
        <w:tc>
          <w:tcPr/>
          <w:p>
            <w:pPr>
              <w:pStyle w:val="Compact"/>
              <w:jc w:val="right"/>
            </w:pPr>
            <w:r>
              <w:rPr>
                <w:b/>
                <w:bCs/>
              </w:rPr>
              <w:t xml:space="preserve">~50%</w:t>
            </w:r>
          </w:p>
        </w:tc>
      </w:tr>
      <w:tr>
        <w:tc>
          <w:tcPr/>
          <w:p>
            <w:pPr>
              <w:pStyle w:val="Compact"/>
            </w:pPr>
            <w:r>
              <w:t xml:space="preserve">Original adjusted EPS guidance</w:t>
            </w:r>
          </w:p>
        </w:tc>
        <w:tc>
          <w:tcPr/>
          <w:p>
            <w:pPr>
              <w:pStyle w:val="Compact"/>
              <w:jc w:val="right"/>
            </w:pPr>
            <m:oMath>
              <m:r>
                <m:t>3.74</m:t>
              </m:r>
              <m:r>
                <m:rPr>
                  <m:sty m:val="p"/>
                </m:rPr>
                <m:t>–</m:t>
              </m:r>
            </m:oMath>
            <w:r>
              <w:rPr>
                <w:b/>
                <w:bCs/>
              </w:rPr>
              <w:t xml:space="preserve">3.78</w:t>
            </w:r>
          </w:p>
        </w:tc>
      </w:tr>
      <w:tr>
        <w:tc>
          <w:tcPr/>
          <w:p>
            <w:pPr>
              <w:pStyle w:val="Compact"/>
            </w:pPr>
            <w:r>
              <w:t xml:space="preserve">Acquired IPR&amp;D / milestones expense pre-disclosed July 6</w:t>
            </w:r>
          </w:p>
        </w:tc>
        <w:tc>
          <w:tcPr/>
          <w:p>
            <w:pPr>
              <w:pStyle w:val="Compact"/>
              <w:jc w:val="right"/>
            </w:pPr>
            <w:r>
              <w:rPr>
                <w:b/>
                <w:bCs/>
              </w:rPr>
              <w:t xml:space="preserve">$291M / $0.17 per share</w:t>
            </w:r>
          </w:p>
        </w:tc>
      </w:tr>
      <w:tr>
        <w:tc>
          <w:tcPr/>
          <w:p>
            <w:pPr>
              <w:pStyle w:val="Compact"/>
            </w:pPr>
            <w:r>
              <w:t xml:space="preserve">Revised adjusted EPS guidance, including charge</w:t>
            </w:r>
          </w:p>
        </w:tc>
        <w:tc>
          <w:tcPr/>
          <w:p>
            <w:pPr>
              <w:pStyle w:val="Compact"/>
              <w:jc w:val="right"/>
            </w:pPr>
            <m:oMath>
              <m:r>
                <m:t>3.57</m:t>
              </m:r>
              <m:r>
                <m:rPr>
                  <m:sty m:val="p"/>
                </m:rPr>
                <m:t>–</m:t>
              </m:r>
            </m:oMath>
            <w:r>
              <w:rPr>
                <w:b/>
                <w:bCs/>
              </w:rPr>
              <w:t xml:space="preserve">3.61</w:t>
            </w:r>
          </w:p>
        </w:tc>
      </w:tr>
      <w:tr>
        <w:tc>
          <w:tcPr/>
          <w:p>
            <w:pPr>
              <w:pStyle w:val="Compact"/>
            </w:pPr>
            <w:r>
              <w:t xml:space="preserve">FY26 revenue outlook</w:t>
            </w:r>
          </w:p>
        </w:tc>
        <w:tc>
          <w:tcPr/>
          <w:p>
            <w:pPr>
              <w:pStyle w:val="Compact"/>
              <w:jc w:val="right"/>
            </w:pPr>
            <w:r>
              <w:rPr>
                <w:b/>
                <w:bCs/>
              </w:rPr>
              <w:t xml:space="preserve">~$67.3B</w:t>
            </w:r>
          </w:p>
        </w:tc>
      </w:tr>
      <w:tr>
        <w:tc>
          <w:tcPr/>
          <w:p>
            <w:pPr>
              <w:pStyle w:val="Compact"/>
            </w:pPr>
            <w:r>
              <w:t xml:space="preserve">FY26 adjusted EPS outlook, including 1H26 disclosed IPR&amp;D charges</w:t>
            </w:r>
          </w:p>
        </w:tc>
        <w:tc>
          <w:tcPr/>
          <w:p>
            <w:pPr>
              <w:pStyle w:val="Compact"/>
              <w:jc w:val="right"/>
            </w:pPr>
            <m:oMath>
              <m:r>
                <m:t>13.91</m:t>
              </m:r>
              <m:r>
                <m:rPr>
                  <m:sty m:val="p"/>
                </m:rPr>
                <m:t>–</m:t>
              </m:r>
            </m:oMath>
            <w:r>
              <w:rPr>
                <w:b/>
                <w:bCs/>
              </w:rPr>
              <w:t xml:space="preserve">14.11</w:t>
            </w:r>
          </w:p>
        </w:tc>
      </w:tr>
    </w:tbl>
    <w:p>
      <w:pPr>
        <w:pStyle w:val="BodyText"/>
      </w:pPr>
      <w:r>
        <w:t xml:space="preserve">The pre-announced charge is a material framing item: AbbVie’s reported adjusted EPS could appear below the initial quarter guide, while still meeting the revised range. Investors should instead concentrate on revenue, franchise mix, margins excluding deal-related items, and the implications for the second half.</w:t>
      </w:r>
    </w:p>
    <w:bookmarkEnd w:id="10"/>
    <w:bookmarkStart w:id="12" w:name="X57d014d87f46c1222cdf840bfc028d6b95c3cc3"/>
    <w:p>
      <w:pPr>
        <w:pStyle w:val="Heading2"/>
      </w:pPr>
      <w:r>
        <w:t xml:space="preserve">The core debate: can Skyrizi and Rinvoq keep carrying the model?</w:t>
      </w:r>
    </w:p>
    <w:p>
      <w:pPr>
        <w:pStyle w:val="FirstParagraph"/>
      </w:pPr>
      <w:r>
        <w:t xml:space="preserve">AbbVie’s post-Humira strategy is working commercially. In 1Q26,</w:t>
      </w:r>
      <w:r>
        <w:t xml:space="preserve"> </w:t>
      </w:r>
      <w:r>
        <w:rPr>
          <w:b/>
          <w:bCs/>
        </w:rPr>
        <w:t xml:space="preserve">Skyrizi</w:t>
      </w:r>
      <w:r>
        <w:t xml:space="preserve"> </w:t>
      </w:r>
      <w:r>
        <w:t xml:space="preserve">generated</w:t>
      </w:r>
      <w:r>
        <w:t xml:space="preserve"> </w:t>
      </w:r>
      <m:oMath>
        <m:r>
          <m:t>4.48</m:t>
        </m:r>
        <m:r>
          <m:t>B</m:t>
        </m:r>
        <m:r>
          <m:rPr>
            <m:sty m:val="p"/>
          </m:rPr>
          <m:t>*</m:t>
        </m:r>
        <m:r>
          <m:rPr>
            <m:sty m:val="p"/>
          </m:rPr>
          <m:t>*</m:t>
        </m:r>
        <m:r>
          <m:t>o</m:t>
        </m:r>
        <m:r>
          <m:t>f</m:t>
        </m:r>
        <m:r>
          <m:t>r</m:t>
        </m:r>
        <m:r>
          <m:t>e</m:t>
        </m:r>
        <m:r>
          <m:t>v</m:t>
        </m:r>
        <m:r>
          <m:t>e</m:t>
        </m:r>
        <m:r>
          <m:t>n</m:t>
        </m:r>
        <m:r>
          <m:t>u</m:t>
        </m:r>
        <m:r>
          <m:t>e</m:t>
        </m:r>
        <m:r>
          <m:rPr>
            <m:sty m:val="p"/>
          </m:rPr>
          <m:t>,</m:t>
        </m:r>
        <m:r>
          <m:t>u</m:t>
        </m:r>
        <m:r>
          <m:t>p</m:t>
        </m:r>
        <m:r>
          <m:t>29</m:t>
        </m:r>
      </m:oMath>
      <w:r>
        <w:rPr>
          <w:b/>
          <w:bCs/>
        </w:rPr>
        <w:t xml:space="preserve">2.12B</w:t>
      </w:r>
      <w:r>
        <w:t xml:space="preserve">, up 20% operationally. Together, those assets represented nearly 44% of company revenue in the quarter.</w:t>
      </w:r>
    </w:p>
    <w:p>
      <w:pPr>
        <w:pStyle w:val="BodyText"/>
      </w:pPr>
      <w:r>
        <w:t xml:space="preserve">Management’s full-year outlook calls for:</w:t>
      </w:r>
    </w:p>
    <w:p>
      <w:pPr>
        <w:pStyle w:val="Compact"/>
        <w:numPr>
          <w:ilvl w:val="0"/>
          <w:numId w:val="1001"/>
        </w:numPr>
      </w:pPr>
      <w:r>
        <w:rPr>
          <w:b/>
          <w:bCs/>
        </w:rPr>
        <w:t xml:space="preserve">Skyrizi:</w:t>
      </w:r>
      <w:r>
        <w:t xml:space="preserve"> </w:t>
      </w:r>
      <w:r>
        <w:rPr>
          <w:b/>
          <w:bCs/>
        </w:rPr>
        <w:t xml:space="preserve">$21.6B</w:t>
      </w:r>
      <w:r>
        <w:t xml:space="preserve"> </w:t>
      </w:r>
      <w:r>
        <w:t xml:space="preserve">in 2026 revenue</w:t>
      </w:r>
    </w:p>
    <w:p>
      <w:pPr>
        <w:pStyle w:val="Compact"/>
        <w:numPr>
          <w:ilvl w:val="0"/>
          <w:numId w:val="1001"/>
        </w:numPr>
      </w:pPr>
      <w:r>
        <w:rPr>
          <w:b/>
          <w:bCs/>
        </w:rPr>
        <w:t xml:space="preserve">Rinvoq:</w:t>
      </w:r>
      <w:r>
        <w:t xml:space="preserve"> </w:t>
      </w:r>
      <w:r>
        <w:rPr>
          <w:b/>
          <w:bCs/>
        </w:rPr>
        <w:t xml:space="preserve">$10.2B</w:t>
      </w:r>
    </w:p>
    <w:p>
      <w:pPr>
        <w:pStyle w:val="Compact"/>
        <w:numPr>
          <w:ilvl w:val="0"/>
          <w:numId w:val="1001"/>
        </w:numPr>
      </w:pPr>
      <w:r>
        <w:rPr>
          <w:b/>
          <w:bCs/>
        </w:rPr>
        <w:t xml:space="preserve">Total neuroscience:</w:t>
      </w:r>
      <w:r>
        <w:t xml:space="preserve"> </w:t>
      </w:r>
      <w:r>
        <w:rPr>
          <w:b/>
          <w:bCs/>
        </w:rPr>
        <w:t xml:space="preserve">$12.6B</w:t>
      </w:r>
    </w:p>
    <w:bookmarkStart w:id="11" w:name="what-to-watch-in-2q"/>
    <w:p>
      <w:pPr>
        <w:pStyle w:val="Heading3"/>
      </w:pPr>
      <w:r>
        <w:t xml:space="preserve">What to watch in 2Q</w:t>
      </w:r>
    </w:p>
    <w:p>
      <w:pPr>
        <w:numPr>
          <w:ilvl w:val="0"/>
          <w:numId w:val="1002"/>
        </w:numPr>
      </w:pPr>
      <w:r>
        <w:rPr>
          <w:b/>
          <w:bCs/>
        </w:rPr>
        <w:t xml:space="preserve">Skyrizi demand, pricing, and IBD mix</w:t>
      </w:r>
      <w:r>
        <w:br/>
      </w:r>
      <w:r>
        <w:t xml:space="preserve">Skyrizi is the most important operating variable in the release. Management characterized 1Q demand growth as roughly 30%, with flat year-over-year price in the quarter due partly to comparisons and modest inventory effects. For 2026, management continues to expect low-single-digit pricing pressure across immunology.</w:t>
      </w:r>
    </w:p>
    <w:p>
      <w:pPr>
        <w:numPr>
          <w:ilvl w:val="0"/>
          <w:numId w:val="1000"/>
        </w:numPr>
      </w:pPr>
      <w:r>
        <w:t xml:space="preserve">Investors will want evidence that prescription demand, especially in inflammatory bowel disease, remains strong enough to support the $21.6B full-year outlook despite competitive launches and payer pressure. Commentary on share trends in psoriasis, psoriatic arthritis, Crohn’s disease, and ulcerative colitis will matter more than a small quarterly revenue variance.</w:t>
      </w:r>
    </w:p>
    <w:p>
      <w:pPr>
        <w:numPr>
          <w:ilvl w:val="0"/>
          <w:numId w:val="1002"/>
        </w:numPr>
      </w:pPr>
      <w:r>
        <w:rPr>
          <w:b/>
          <w:bCs/>
        </w:rPr>
        <w:t xml:space="preserve">Rinvoq’s growth rate and new-indication runway</w:t>
      </w:r>
      <w:r>
        <w:br/>
      </w:r>
      <w:r>
        <w:t xml:space="preserve">Rinvoq has been growing across rheumatology and gastroenterology, with management highlighting improved access and prescription momentum in IBD. The next leg of the thesis depends on launches or approvals in dermatology-led indications including</w:t>
      </w:r>
      <w:r>
        <w:t xml:space="preserve"> </w:t>
      </w:r>
      <w:r>
        <w:rPr>
          <w:b/>
          <w:bCs/>
        </w:rPr>
        <w:t xml:space="preserve">vitiligo</w:t>
      </w:r>
      <w:r>
        <w:t xml:space="preserve"> </w:t>
      </w:r>
      <w:r>
        <w:t xml:space="preserve">and</w:t>
      </w:r>
      <w:r>
        <w:t xml:space="preserve"> </w:t>
      </w:r>
      <w:r>
        <w:rPr>
          <w:b/>
          <w:bCs/>
        </w:rPr>
        <w:t xml:space="preserve">alopecia areata</w:t>
      </w:r>
      <w:r>
        <w:t xml:space="preserve">, plus pipeline readouts in hidradenitis suppurativa.</w:t>
      </w:r>
    </w:p>
    <w:p>
      <w:pPr>
        <w:numPr>
          <w:ilvl w:val="0"/>
          <w:numId w:val="1000"/>
        </w:numPr>
      </w:pPr>
      <w:r>
        <w:t xml:space="preserve">A sustained ~20% operational growth profile—or better—would reinforce confidence in the $10.2B annual target and management’s assertion that consensus still understates the asset’s peak sales potential.</w:t>
      </w:r>
    </w:p>
    <w:p>
      <w:pPr>
        <w:numPr>
          <w:ilvl w:val="0"/>
          <w:numId w:val="1002"/>
        </w:numPr>
      </w:pPr>
      <w:r>
        <w:rPr>
          <w:b/>
          <w:bCs/>
        </w:rPr>
        <w:t xml:space="preserve">Humira erosion: likely manageable, but still relevant</w:t>
      </w:r>
      <w:r>
        <w:br/>
      </w:r>
      <w:r>
        <w:t xml:space="preserve">Humira revenue was</w:t>
      </w:r>
      <w:r>
        <w:t xml:space="preserve"> </w:t>
      </w:r>
      <w:r>
        <w:rPr>
          <w:b/>
          <w:bCs/>
        </w:rPr>
        <w:t xml:space="preserve">$688M</w:t>
      </w:r>
      <w:r>
        <w:t xml:space="preserve"> </w:t>
      </w:r>
      <w:r>
        <w:t xml:space="preserve">in 1Q, down 40% operationally. The decline was in line with AbbVie’s expectations and is no longer the main narrative, but a materially faster-than-expected erosion rate could still dilute franchise growth and pressure the consolidated mix.</w:t>
      </w:r>
    </w:p>
    <w:bookmarkEnd w:id="11"/>
    <w:bookmarkEnd w:id="12"/>
    <w:bookmarkStart w:id="13" w:name="X9b71d2c08f71c8118ae6b6380a8ba9109da6eb4"/>
    <w:p>
      <w:pPr>
        <w:pStyle w:val="Heading2"/>
      </w:pPr>
      <w:r>
        <w:t xml:space="preserve">Neuroscience: the underappreciated earnings lever</w:t>
      </w:r>
    </w:p>
    <w:p>
      <w:pPr>
        <w:pStyle w:val="FirstParagraph"/>
      </w:pPr>
      <w:r>
        <w:t xml:space="preserve">Neuroscience delivered</w:t>
      </w:r>
      <w:r>
        <w:t xml:space="preserve"> </w:t>
      </w:r>
      <w:r>
        <w:rPr>
          <w:b/>
          <w:bCs/>
        </w:rPr>
        <w:t xml:space="preserve">$2.88B</w:t>
      </w:r>
      <w:r>
        <w:t xml:space="preserve"> </w:t>
      </w:r>
      <w:r>
        <w:t xml:space="preserve">in 1Q revenue, up 24% operationally. It is increasingly a key offset to legacy-product erosion and an important source of earnings diversification.</w:t>
      </w:r>
    </w:p>
    <w:p>
      <w:pPr>
        <w:pStyle w:val="BodyText"/>
      </w:pPr>
      <w:r>
        <w:t xml:space="preserve">Key products to monitor:</w:t>
      </w:r>
    </w:p>
    <w:p>
      <w:pPr>
        <w:pStyle w:val="Compact"/>
        <w:numPr>
          <w:ilvl w:val="0"/>
          <w:numId w:val="1003"/>
        </w:numPr>
      </w:pPr>
      <w:r>
        <w:rPr>
          <w:b/>
          <w:bCs/>
        </w:rPr>
        <w:t xml:space="preserve">Botox Therapeutic:</w:t>
      </w:r>
      <w:r>
        <w:t xml:space="preserve"> </w:t>
      </w:r>
      <w:r>
        <w:t xml:space="preserve">$1.01B in 1Q, +15% operationally</w:t>
      </w:r>
    </w:p>
    <w:p>
      <w:pPr>
        <w:pStyle w:val="Compact"/>
        <w:numPr>
          <w:ilvl w:val="0"/>
          <w:numId w:val="1003"/>
        </w:numPr>
      </w:pPr>
      <w:r>
        <w:rPr>
          <w:b/>
          <w:bCs/>
        </w:rPr>
        <w:t xml:space="preserve">Vraylar:</w:t>
      </w:r>
      <w:r>
        <w:t xml:space="preserve"> </w:t>
      </w:r>
      <w:r>
        <w:t xml:space="preserve">$905M, +18%</w:t>
      </w:r>
    </w:p>
    <w:p>
      <w:pPr>
        <w:pStyle w:val="Compact"/>
        <w:numPr>
          <w:ilvl w:val="0"/>
          <w:numId w:val="1003"/>
        </w:numPr>
      </w:pPr>
      <w:r>
        <w:rPr>
          <w:b/>
          <w:bCs/>
        </w:rPr>
        <w:t xml:space="preserve">Ubrelvy + Qulipta:</w:t>
      </w:r>
      <w:r>
        <w:t xml:space="preserve"> </w:t>
      </w:r>
      <w:r>
        <w:t xml:space="preserve">$635M combined, with growth above 40%</w:t>
      </w:r>
    </w:p>
    <w:p>
      <w:pPr>
        <w:pStyle w:val="Compact"/>
        <w:numPr>
          <w:ilvl w:val="0"/>
          <w:numId w:val="1003"/>
        </w:numPr>
      </w:pPr>
      <w:r>
        <w:rPr>
          <w:b/>
          <w:bCs/>
        </w:rPr>
        <w:t xml:space="preserve">Vyalev:</w:t>
      </w:r>
      <w:r>
        <w:t xml:space="preserve"> </w:t>
      </w:r>
      <w:r>
        <w:t xml:space="preserve">$201M, with management expecting blockbuster revenue in 2026</w:t>
      </w:r>
    </w:p>
    <w:p>
      <w:pPr>
        <w:pStyle w:val="FirstParagraph"/>
      </w:pPr>
      <w:r>
        <w:t xml:space="preserve">The quarter’s read-through will depend on whether AbbVie can sustain double-digit growth across migraine, psychiatry, and Parkinson’s disease. Investors should also look for an update on</w:t>
      </w:r>
      <w:r>
        <w:t xml:space="preserve"> </w:t>
      </w:r>
      <w:r>
        <w:rPr>
          <w:b/>
          <w:bCs/>
        </w:rPr>
        <w:t xml:space="preserve">tavapadon</w:t>
      </w:r>
      <w:r>
        <w:t xml:space="preserve">, for which management had expected a U.S. regulatory decision in the third quarter. AbbVie sees Parkinson’s as a potential franchise exceeding $5B at peak when combining tavapadon, Vyalev, and related assets.</w:t>
      </w:r>
    </w:p>
    <w:bookmarkEnd w:id="13"/>
    <w:bookmarkStart w:id="16" w:name="X007af4b4be1706537043fc960f04a74b9188c98"/>
    <w:p>
      <w:pPr>
        <w:pStyle w:val="Heading2"/>
      </w:pPr>
      <w:r>
        <w:t xml:space="preserve">Oncology and aesthetics: offsets and potential weak points</w:t>
      </w:r>
    </w:p>
    <w:bookmarkStart w:id="14" w:name="oncology"/>
    <w:p>
      <w:pPr>
        <w:pStyle w:val="Heading3"/>
      </w:pPr>
      <w:r>
        <w:t xml:space="preserve">Oncology</w:t>
      </w:r>
    </w:p>
    <w:p>
      <w:pPr>
        <w:pStyle w:val="FirstParagraph"/>
      </w:pPr>
      <w:r>
        <w:t xml:space="preserve">AbbVie’s oncology business was essentially flat in 1Q on a reported basis and down 3% operationally, reflecting the expected decline in</w:t>
      </w:r>
      <w:r>
        <w:t xml:space="preserve"> </w:t>
      </w:r>
      <w:r>
        <w:rPr>
          <w:b/>
          <w:bCs/>
        </w:rPr>
        <w:t xml:space="preserve">Imbruvica</w:t>
      </w:r>
      <w:r>
        <w:t xml:space="preserve">. The company needs continued growth from</w:t>
      </w:r>
      <w:r>
        <w:t xml:space="preserve"> </w:t>
      </w:r>
      <w:r>
        <w:rPr>
          <w:b/>
          <w:bCs/>
        </w:rPr>
        <w:t xml:space="preserve">Venclexta</w:t>
      </w:r>
      <w:r>
        <w:t xml:space="preserve">,</w:t>
      </w:r>
      <w:r>
        <w:t xml:space="preserve"> </w:t>
      </w:r>
      <w:r>
        <w:rPr>
          <w:b/>
          <w:bCs/>
        </w:rPr>
        <w:t xml:space="preserve">Elahere</w:t>
      </w:r>
      <w:r>
        <w:t xml:space="preserve">, and</w:t>
      </w:r>
      <w:r>
        <w:t xml:space="preserve"> </w:t>
      </w:r>
      <w:r>
        <w:rPr>
          <w:b/>
          <w:bCs/>
        </w:rPr>
        <w:t xml:space="preserve">Epkinly</w:t>
      </w:r>
      <w:r>
        <w:t xml:space="preserve"> </w:t>
      </w:r>
      <w:r>
        <w:t xml:space="preserve">to cushion that pressure.</w:t>
      </w:r>
    </w:p>
    <w:p>
      <w:pPr>
        <w:pStyle w:val="Compact"/>
        <w:numPr>
          <w:ilvl w:val="0"/>
          <w:numId w:val="1004"/>
        </w:numPr>
      </w:pPr>
      <w:r>
        <w:rPr>
          <w:b/>
          <w:bCs/>
        </w:rPr>
        <w:t xml:space="preserve">Venclexta:</w:t>
      </w:r>
      <w:r>
        <w:t xml:space="preserve"> </w:t>
      </w:r>
      <w:r>
        <w:t xml:space="preserve">$770M in 1Q, +10% operationally</w:t>
      </w:r>
    </w:p>
    <w:p>
      <w:pPr>
        <w:pStyle w:val="Compact"/>
        <w:numPr>
          <w:ilvl w:val="0"/>
          <w:numId w:val="1004"/>
        </w:numPr>
      </w:pPr>
      <w:r>
        <w:rPr>
          <w:b/>
          <w:bCs/>
        </w:rPr>
        <w:t xml:space="preserve">Imbruvica:</w:t>
      </w:r>
      <w:r>
        <w:t xml:space="preserve"> </w:t>
      </w:r>
      <w:r>
        <w:t xml:space="preserve">$556M, -25%</w:t>
      </w:r>
    </w:p>
    <w:p>
      <w:pPr>
        <w:pStyle w:val="Compact"/>
        <w:numPr>
          <w:ilvl w:val="0"/>
          <w:numId w:val="1004"/>
        </w:numPr>
      </w:pPr>
      <w:r>
        <w:rPr>
          <w:b/>
          <w:bCs/>
        </w:rPr>
        <w:t xml:space="preserve">Elahere:</w:t>
      </w:r>
      <w:r>
        <w:t xml:space="preserve"> </w:t>
      </w:r>
      <w:r>
        <w:t xml:space="preserve">$198M, +8% operationally</w:t>
      </w:r>
    </w:p>
    <w:p>
      <w:pPr>
        <w:pStyle w:val="Compact"/>
        <w:numPr>
          <w:ilvl w:val="0"/>
          <w:numId w:val="1004"/>
        </w:numPr>
      </w:pPr>
      <w:r>
        <w:rPr>
          <w:b/>
          <w:bCs/>
        </w:rPr>
        <w:t xml:space="preserve">Epkinly:</w:t>
      </w:r>
      <w:r>
        <w:t xml:space="preserve"> </w:t>
      </w:r>
      <w:r>
        <w:t xml:space="preserve">$83M, +58% operationally</w:t>
      </w:r>
    </w:p>
    <w:p>
      <w:pPr>
        <w:pStyle w:val="FirstParagraph"/>
      </w:pPr>
      <w:r>
        <w:t xml:space="preserve">The near-term commercial question is whether emerging products can offset Imbruvica at a sufficient pace. The longer-term pipeline focus is on etentamig and the solid-tumor ADC portfolio, but those opportunities are not likely to be decisive for the 2Q financial print.</w:t>
      </w:r>
    </w:p>
    <w:bookmarkEnd w:id="14"/>
    <w:bookmarkStart w:id="15" w:name="aesthetics"/>
    <w:p>
      <w:pPr>
        <w:pStyle w:val="Heading3"/>
      </w:pPr>
      <w:r>
        <w:t xml:space="preserve">Aesthetics</w:t>
      </w:r>
    </w:p>
    <w:p>
      <w:pPr>
        <w:pStyle w:val="FirstParagraph"/>
      </w:pPr>
      <w:r>
        <w:t xml:space="preserve">Aesthetics remains a smaller but sentiment-sensitive segment.</w:t>
      </w:r>
      <w:r>
        <w:t xml:space="preserve"> </w:t>
      </w:r>
      <w:r>
        <w:rPr>
          <w:b/>
          <w:bCs/>
        </w:rPr>
        <w:t xml:space="preserve">Botox Cosmetic</w:t>
      </w:r>
      <w:r>
        <w:t xml:space="preserve"> </w:t>
      </w:r>
      <w:r>
        <w:t xml:space="preserve">performed well in 1Q, rising 17% operationally, but</w:t>
      </w:r>
      <w:r>
        <w:t xml:space="preserve"> </w:t>
      </w:r>
      <w:r>
        <w:rPr>
          <w:b/>
          <w:bCs/>
        </w:rPr>
        <w:t xml:space="preserve">Juvederm</w:t>
      </w:r>
      <w:r>
        <w:t xml:space="preserve"> </w:t>
      </w:r>
      <w:r>
        <w:t xml:space="preserve">was down 3% operationally and broader filler demand remained soft. Management has described a prolonged inflation-related pressure on the consumer, rather than a sharp cyclical downturn.</w:t>
      </w:r>
    </w:p>
    <w:p>
      <w:pPr>
        <w:pStyle w:val="BodyText"/>
      </w:pPr>
      <w:r>
        <w:t xml:space="preserve">For 2Q, Botox Cosmetic growth and any stabilization in fillers will be important. Persistent filler weakness would not break the overall AbbVie thesis, but it could temper consolidated growth and reinforce concern over discretionary-consumer exposure.</w:t>
      </w:r>
    </w:p>
    <w:bookmarkEnd w:id="15"/>
    <w:bookmarkEnd w:id="16"/>
    <w:bookmarkStart w:id="17" w:name="Xdbbcc8011d5010f2c483b3134540a55b882da9e"/>
    <w:p>
      <w:pPr>
        <w:pStyle w:val="Heading2"/>
      </w:pPr>
      <w:r>
        <w:t xml:space="preserve">The July Apogee acquisition changes the strategic narrative</w:t>
      </w:r>
    </w:p>
    <w:p>
      <w:pPr>
        <w:pStyle w:val="FirstParagraph"/>
      </w:pPr>
      <w:r>
        <w:t xml:space="preserve">In June, AbbVie agreed to acquire</w:t>
      </w:r>
      <w:r>
        <w:t xml:space="preserve"> </w:t>
      </w:r>
      <w:r>
        <w:rPr>
          <w:b/>
          <w:bCs/>
        </w:rPr>
        <w:t xml:space="preserve">Apogee Therapeutics</w:t>
      </w:r>
      <w:r>
        <w:t xml:space="preserve"> </w:t>
      </w:r>
      <w:r>
        <w:t xml:space="preserve">for approximately</w:t>
      </w:r>
      <w:r>
        <w:t xml:space="preserve"> </w:t>
      </w:r>
      <w:r>
        <w:rPr>
          <w:b/>
          <w:bCs/>
        </w:rPr>
        <w:t xml:space="preserve">$10.9B in equity value</w:t>
      </w:r>
      <w:r>
        <w:t xml:space="preserve">, with closing expected in 3Q26. Apogee adds a late-stage IL-13 antibody,</w:t>
      </w:r>
      <w:r>
        <w:t xml:space="preserve"> </w:t>
      </w:r>
      <w:r>
        <w:rPr>
          <w:b/>
          <w:bCs/>
        </w:rPr>
        <w:t xml:space="preserve">zumilokibart (APG777)</w:t>
      </w:r>
      <w:r>
        <w:t xml:space="preserve">, for atopic dermatitis and an IL-13/TSLP combination program for asthma.</w:t>
      </w:r>
    </w:p>
    <w:p>
      <w:pPr>
        <w:pStyle w:val="BodyText"/>
      </w:pPr>
      <w:r>
        <w:t xml:space="preserve">Strategically, the deal:</w:t>
      </w:r>
    </w:p>
    <w:p>
      <w:pPr>
        <w:pStyle w:val="Compact"/>
        <w:numPr>
          <w:ilvl w:val="0"/>
          <w:numId w:val="1005"/>
        </w:numPr>
      </w:pPr>
      <w:r>
        <w:t xml:space="preserve">Extends AbbVie’s immunology reach beyond Skyrizi and Rinvoq;</w:t>
      </w:r>
    </w:p>
    <w:p>
      <w:pPr>
        <w:pStyle w:val="Compact"/>
        <w:numPr>
          <w:ilvl w:val="0"/>
          <w:numId w:val="1005"/>
        </w:numPr>
      </w:pPr>
      <w:r>
        <w:t xml:space="preserve">Adds exposure to atopic dermatitis and respiratory inflammation;</w:t>
      </w:r>
    </w:p>
    <w:p>
      <w:pPr>
        <w:pStyle w:val="Compact"/>
        <w:numPr>
          <w:ilvl w:val="0"/>
          <w:numId w:val="1005"/>
        </w:numPr>
      </w:pPr>
      <w:r>
        <w:t xml:space="preserve">Supports AbbVie’s emphasis on longer-acting biologics and combination approaches;</w:t>
      </w:r>
    </w:p>
    <w:p>
      <w:pPr>
        <w:pStyle w:val="Compact"/>
        <w:numPr>
          <w:ilvl w:val="0"/>
          <w:numId w:val="1005"/>
        </w:numPr>
      </w:pPr>
      <w:r>
        <w:t xml:space="preserve">Is expected to be</w:t>
      </w:r>
      <w:r>
        <w:t xml:space="preserve"> </w:t>
      </w:r>
      <w:r>
        <w:rPr>
          <w:b/>
          <w:bCs/>
        </w:rPr>
        <w:t xml:space="preserve">accretive to adjusted EPS beginning in 2032</w:t>
      </w:r>
      <w:r>
        <w:t xml:space="preserve">, indicating that near-term earnings dilution and integration costs remain part of the consideration.</w:t>
      </w:r>
    </w:p>
    <w:p>
      <w:pPr>
        <w:pStyle w:val="FirstParagraph"/>
      </w:pPr>
      <w:r>
        <w:t xml:space="preserve">On the call, investors will likely seek clarity on closing timing, financing and leverage implications, the development plan for APG777, and how Apogee fits alongside AbbVie’s internal dermatology, immunology, and respiratory pipeline.</w:t>
      </w:r>
    </w:p>
    <w:bookmarkEnd w:id="17"/>
    <w:bookmarkStart w:id="18" w:name="X4195baac2775534ed9c5f1f71e264ed981cbdf0"/>
    <w:p>
      <w:pPr>
        <w:pStyle w:val="Heading2"/>
      </w:pPr>
      <w:r>
        <w:t xml:space="preserve">Pipeline and regulatory catalysts to listen for</w:t>
      </w:r>
    </w:p>
    <w:p>
      <w:pPr>
        <w:pStyle w:val="FirstParagraph"/>
      </w:pPr>
      <w:r>
        <w:t xml:space="preserve">Beyond the financial results, the call may shape expectations around several potential catalysts:</w:t>
      </w:r>
    </w:p>
    <w:p>
      <w:pPr>
        <w:pStyle w:val="Compact"/>
        <w:numPr>
          <w:ilvl w:val="0"/>
          <w:numId w:val="1006"/>
        </w:numPr>
      </w:pPr>
      <w:r>
        <w:rPr>
          <w:b/>
          <w:bCs/>
        </w:rPr>
        <w:t xml:space="preserve">Skyrizi subcutaneous induction for Crohn’s disease:</w:t>
      </w:r>
      <w:r>
        <w:t xml:space="preserve"> </w:t>
      </w:r>
      <w:r>
        <w:t xml:space="preserve">FDA decision anticipated later in 2026.</w:t>
      </w:r>
    </w:p>
    <w:p>
      <w:pPr>
        <w:pStyle w:val="Compact"/>
        <w:numPr>
          <w:ilvl w:val="0"/>
          <w:numId w:val="1006"/>
        </w:numPr>
      </w:pPr>
      <w:r>
        <w:rPr>
          <w:b/>
          <w:bCs/>
        </w:rPr>
        <w:t xml:space="preserve">Rinvoq in alopecia areata:</w:t>
      </w:r>
      <w:r>
        <w:t xml:space="preserve"> </w:t>
      </w:r>
      <w:r>
        <w:t xml:space="preserve">U.S. decision expected in early 2027, with decisions in Europe and Japan expected earlier.</w:t>
      </w:r>
    </w:p>
    <w:p>
      <w:pPr>
        <w:pStyle w:val="Compact"/>
        <w:numPr>
          <w:ilvl w:val="0"/>
          <w:numId w:val="1006"/>
        </w:numPr>
      </w:pPr>
      <w:r>
        <w:rPr>
          <w:b/>
          <w:bCs/>
        </w:rPr>
        <w:t xml:space="preserve">Rinvoq and lutikizumab in hidradenitis suppurativa:</w:t>
      </w:r>
      <w:r>
        <w:t xml:space="preserve"> </w:t>
      </w:r>
      <w:r>
        <w:t xml:space="preserve">Phase 3 topline results expected in 2H26.</w:t>
      </w:r>
    </w:p>
    <w:p>
      <w:pPr>
        <w:pStyle w:val="Compact"/>
        <w:numPr>
          <w:ilvl w:val="0"/>
          <w:numId w:val="1006"/>
        </w:numPr>
      </w:pPr>
      <w:r>
        <w:rPr>
          <w:b/>
          <w:bCs/>
        </w:rPr>
        <w:t xml:space="preserve">Tavapadon in Parkinson’s disease:</w:t>
      </w:r>
      <w:r>
        <w:t xml:space="preserve"> </w:t>
      </w:r>
      <w:r>
        <w:t xml:space="preserve">U.S. decision anticipated in 3Q26.</w:t>
      </w:r>
    </w:p>
    <w:p>
      <w:pPr>
        <w:pStyle w:val="Compact"/>
        <w:numPr>
          <w:ilvl w:val="0"/>
          <w:numId w:val="1006"/>
        </w:numPr>
      </w:pPr>
      <w:r>
        <w:rPr>
          <w:b/>
          <w:bCs/>
        </w:rPr>
        <w:t xml:space="preserve">Etentamig in multiple myeloma:</w:t>
      </w:r>
      <w:r>
        <w:t xml:space="preserve"> </w:t>
      </w:r>
      <w:r>
        <w:t xml:space="preserve">response-rate readout expected in 3Q26, potentially accompanied by an interim progression-free-survival analysis.</w:t>
      </w:r>
    </w:p>
    <w:p>
      <w:pPr>
        <w:pStyle w:val="Compact"/>
        <w:numPr>
          <w:ilvl w:val="0"/>
          <w:numId w:val="1006"/>
        </w:numPr>
      </w:pPr>
      <w:r>
        <w:rPr>
          <w:b/>
          <w:bCs/>
        </w:rPr>
        <w:t xml:space="preserve">ABBV-295 obesity program:</w:t>
      </w:r>
      <w:r>
        <w:t xml:space="preserve"> </w:t>
      </w:r>
      <w:r>
        <w:t xml:space="preserve">interim data in patients with obesity anticipated later in 2026, with Phase 2 initiation expected in 3Q.</w:t>
      </w:r>
    </w:p>
    <w:p>
      <w:pPr>
        <w:pStyle w:val="Compact"/>
        <w:numPr>
          <w:ilvl w:val="0"/>
          <w:numId w:val="1006"/>
        </w:numPr>
      </w:pPr>
      <w:r>
        <w:rPr>
          <w:b/>
          <w:bCs/>
        </w:rPr>
        <w:t xml:space="preserve">TrenibotulinumtoxinE:</w:t>
      </w:r>
      <w:r>
        <w:t xml:space="preserve"> </w:t>
      </w:r>
      <w:r>
        <w:t xml:space="preserve">U.S. approval remains delayed after an FDA complete response letter centered on manufacturing information, not clinical safety or efficacy.</w:t>
      </w:r>
    </w:p>
    <w:p>
      <w:pPr>
        <w:pStyle w:val="FirstParagraph"/>
      </w:pPr>
      <w:r>
        <w:t xml:space="preserve">These items reinforce why AbbVie is not simply a mature-pharma earnings story: the company’s ability to translate a broad and heavily funded pipeline into new commercial franchises is increasingly central to the medium- and long-term multiple.</w:t>
      </w:r>
    </w:p>
    <w:bookmarkEnd w:id="18"/>
    <w:bookmarkStart w:id="19" w:name="what-would-constitute-a-bullish-result"/>
    <w:p>
      <w:pPr>
        <w:pStyle w:val="Heading2"/>
      </w:pPr>
      <w:r>
        <w:t xml:space="preserve">What would constitute a bullish result?</w:t>
      </w:r>
    </w:p>
    <w:p>
      <w:pPr>
        <w:pStyle w:val="FirstParagraph"/>
      </w:pPr>
      <w:r>
        <w:t xml:space="preserve">A constructive report would likely include:</w:t>
      </w:r>
    </w:p>
    <w:p>
      <w:pPr>
        <w:pStyle w:val="Compact"/>
        <w:numPr>
          <w:ilvl w:val="0"/>
          <w:numId w:val="1007"/>
        </w:numPr>
      </w:pPr>
      <w:r>
        <w:t xml:space="preserve">Revenue at or above the</w:t>
      </w:r>
      <w:r>
        <w:t xml:space="preserve"> </w:t>
      </w:r>
      <w:r>
        <w:rPr>
          <w:b/>
          <w:bCs/>
        </w:rPr>
        <w:t xml:space="preserve">~$16.7B</w:t>
      </w:r>
      <w:r>
        <w:t xml:space="preserve"> </w:t>
      </w:r>
      <w:r>
        <w:t xml:space="preserve">guide;</w:t>
      </w:r>
    </w:p>
    <w:p>
      <w:pPr>
        <w:pStyle w:val="Compact"/>
        <w:numPr>
          <w:ilvl w:val="0"/>
          <w:numId w:val="1007"/>
        </w:numPr>
      </w:pPr>
      <w:r>
        <w:t xml:space="preserve">Adjusted EPS above the</w:t>
      </w:r>
      <w:r>
        <w:t xml:space="preserve"> </w:t>
      </w:r>
      <w:r>
        <w:rPr>
          <w:b/>
          <w:bCs/>
        </w:rPr>
        <w:t xml:space="preserve">revised</w:t>
      </w:r>
      <w:r>
        <w:rPr>
          <w:b/>
          <w:bCs/>
        </w:rPr>
        <w:t xml:space="preserve"> </w:t>
      </w:r>
      <m:oMath>
        <m:r>
          <m:t>3.57</m:t>
        </m:r>
        <m:r>
          <m:rPr>
            <m:sty m:val="p"/>
          </m:rPr>
          <m:t>–</m:t>
        </m:r>
      </m:oMath>
      <w:r>
        <w:rPr>
          <w:b/>
          <w:bCs/>
        </w:rPr>
        <w:t xml:space="preserve">3.61</w:t>
      </w:r>
      <w:r>
        <w:t xml:space="preserve"> </w:t>
      </w:r>
      <w:r>
        <w:t xml:space="preserve">range, excluding debate over the already disclosed IPR&amp;D charge;</w:t>
      </w:r>
    </w:p>
    <w:p>
      <w:pPr>
        <w:pStyle w:val="Compact"/>
        <w:numPr>
          <w:ilvl w:val="0"/>
          <w:numId w:val="1007"/>
        </w:numPr>
      </w:pPr>
      <w:r>
        <w:t xml:space="preserve">Skyrizi growth near its 1Q demand trajectory and evidence of sustained IBD share gains;</w:t>
      </w:r>
    </w:p>
    <w:p>
      <w:pPr>
        <w:pStyle w:val="Compact"/>
        <w:numPr>
          <w:ilvl w:val="0"/>
          <w:numId w:val="1007"/>
        </w:numPr>
      </w:pPr>
      <w:r>
        <w:t xml:space="preserve">Rinvoq growth that supports the $10.2B FY26 target;</w:t>
      </w:r>
    </w:p>
    <w:p>
      <w:pPr>
        <w:pStyle w:val="Compact"/>
        <w:numPr>
          <w:ilvl w:val="0"/>
          <w:numId w:val="1007"/>
        </w:numPr>
      </w:pPr>
      <w:r>
        <w:t xml:space="preserve">Continued neuroscience outperformance, especially migraine, Vraylar, and Vyalev;</w:t>
      </w:r>
    </w:p>
    <w:p>
      <w:pPr>
        <w:pStyle w:val="Compact"/>
        <w:numPr>
          <w:ilvl w:val="0"/>
          <w:numId w:val="1007"/>
        </w:numPr>
      </w:pPr>
      <w:r>
        <w:t xml:space="preserve">Maintenance or an increase to the FY26 operating outlook;</w:t>
      </w:r>
    </w:p>
    <w:p>
      <w:pPr>
        <w:pStyle w:val="Compact"/>
        <w:numPr>
          <w:ilvl w:val="0"/>
          <w:numId w:val="1007"/>
        </w:numPr>
      </w:pPr>
      <w:r>
        <w:t xml:space="preserve">Reassuring commentary on Apogee closing, immunology competition, and key 2H pipeline catalysts.</w:t>
      </w:r>
    </w:p>
    <w:bookmarkEnd w:id="19"/>
    <w:bookmarkStart w:id="20" w:name="what-could-disappoint"/>
    <w:p>
      <w:pPr>
        <w:pStyle w:val="Heading2"/>
      </w:pPr>
      <w:r>
        <w:t xml:space="preserve">What could disappoint?</w:t>
      </w:r>
    </w:p>
    <w:p>
      <w:pPr>
        <w:pStyle w:val="FirstParagraph"/>
      </w:pPr>
      <w:r>
        <w:t xml:space="preserve">The principal downside risks into the call are:</w:t>
      </w:r>
    </w:p>
    <w:p>
      <w:pPr>
        <w:pStyle w:val="Compact"/>
        <w:numPr>
          <w:ilvl w:val="0"/>
          <w:numId w:val="1008"/>
        </w:numPr>
      </w:pPr>
      <w:r>
        <w:t xml:space="preserve">A deceleration in Skyrizi or Rinvoq that raises questions about competitive intensity, net pricing, or IBD/rheumatology demand;</w:t>
      </w:r>
    </w:p>
    <w:p>
      <w:pPr>
        <w:pStyle w:val="Compact"/>
        <w:numPr>
          <w:ilvl w:val="0"/>
          <w:numId w:val="1008"/>
        </w:numPr>
      </w:pPr>
      <w:r>
        <w:t xml:space="preserve">A guide that is merely reiterated but accompanied by more cautious second-half product commentary;</w:t>
      </w:r>
    </w:p>
    <w:p>
      <w:pPr>
        <w:pStyle w:val="Compact"/>
        <w:numPr>
          <w:ilvl w:val="0"/>
          <w:numId w:val="1008"/>
        </w:numPr>
      </w:pPr>
      <w:r>
        <w:t xml:space="preserve">Faster Humira or Imbruvica erosion than anticipated;</w:t>
      </w:r>
    </w:p>
    <w:p>
      <w:pPr>
        <w:pStyle w:val="Compact"/>
        <w:numPr>
          <w:ilvl w:val="0"/>
          <w:numId w:val="1008"/>
        </w:numPr>
      </w:pPr>
      <w:r>
        <w:t xml:space="preserve">Further softness in fillers or the aesthetics market;</w:t>
      </w:r>
    </w:p>
    <w:p>
      <w:pPr>
        <w:pStyle w:val="Compact"/>
        <w:numPr>
          <w:ilvl w:val="0"/>
          <w:numId w:val="1008"/>
        </w:numPr>
      </w:pPr>
      <w:r>
        <w:t xml:space="preserve">Margin pressure beyond the disclosed deal-related charge;</w:t>
      </w:r>
    </w:p>
    <w:p>
      <w:pPr>
        <w:pStyle w:val="Compact"/>
        <w:numPr>
          <w:ilvl w:val="0"/>
          <w:numId w:val="1008"/>
        </w:numPr>
      </w:pPr>
      <w:r>
        <w:t xml:space="preserve">More conservative timing or language around tavapadon, hidradenitis suppurativa data, etentamig, or the obesity program;</w:t>
      </w:r>
    </w:p>
    <w:p>
      <w:pPr>
        <w:pStyle w:val="Compact"/>
        <w:numPr>
          <w:ilvl w:val="0"/>
          <w:numId w:val="1008"/>
        </w:numPr>
      </w:pPr>
      <w:r>
        <w:t xml:space="preserve">Evidence that the Apogee acquisition carries more near-term earnings, financing, or execution risk than investors expect.</w:t>
      </w:r>
    </w:p>
    <w:bookmarkEnd w:id="20"/>
    <w:bookmarkStart w:id="22" w:name="bottom-line"/>
    <w:p>
      <w:pPr>
        <w:pStyle w:val="Heading2"/>
      </w:pPr>
      <w:r>
        <w:t xml:space="preserve">Bottom line</w:t>
      </w:r>
    </w:p>
    <w:p>
      <w:pPr>
        <w:pStyle w:val="FirstParagraph"/>
      </w:pPr>
      <w:r>
        <w:t xml:space="preserve">AbbVie’s 2Q26 report is primarily a</w:t>
      </w:r>
      <w:r>
        <w:t xml:space="preserve"> </w:t>
      </w:r>
      <w:r>
        <w:rPr>
          <w:b/>
          <w:bCs/>
        </w:rPr>
        <w:t xml:space="preserve">quality-of-growth</w:t>
      </w:r>
      <w:r>
        <w:t xml:space="preserve"> </w:t>
      </w:r>
      <w:r>
        <w:t xml:space="preserve">test. The company has already framed the EPS impact from 2Q IPR&amp;D charges, reducing the importance of a superficial EPS comparison. The more meaningful issue is whether the company can demonstrate continued outperformance in Skyrizi, Rinvoq, and neuroscience while preserving confidence in its FY26 outlook and showing that its substantial business-development investment—most recently Apogee—extends the immunology growth runway beyond the current franchise.</w:t>
      </w:r>
    </w:p>
    <w:bookmarkStart w:id="21" w:name="source-materials-reviewed"/>
    <w:p>
      <w:pPr>
        <w:pStyle w:val="Heading3"/>
      </w:pPr>
      <w:r>
        <w:t xml:space="preserve">Source materials reviewed</w:t>
      </w:r>
    </w:p>
    <w:p>
      <w:pPr>
        <w:pStyle w:val="Compact"/>
        <w:numPr>
          <w:ilvl w:val="0"/>
          <w:numId w:val="1009"/>
        </w:numPr>
      </w:pPr>
      <w:r>
        <w:t xml:space="preserve">AbbVie 1Q26 earnings release and earnings-call transcript, April 29, 2026</w:t>
      </w:r>
    </w:p>
    <w:p>
      <w:pPr>
        <w:pStyle w:val="Compact"/>
        <w:numPr>
          <w:ilvl w:val="0"/>
          <w:numId w:val="1009"/>
        </w:numPr>
      </w:pPr>
      <w:r>
        <w:t xml:space="preserve">AbbVie July 6, 2026 Form 8-K and Exhibit 99.1 on 2Q acquired IPR&amp;D expense and revised EPS guidance</w:t>
      </w:r>
    </w:p>
    <w:p>
      <w:pPr>
        <w:pStyle w:val="Compact"/>
        <w:numPr>
          <w:ilvl w:val="0"/>
          <w:numId w:val="1009"/>
        </w:numPr>
      </w:pPr>
      <w:r>
        <w:t xml:space="preserve">AbbVie announcement of the proposed Apogee Therapeutics acquisition, June 22, 2026</w:t>
      </w:r>
    </w:p>
    <w:p>
      <w:pPr>
        <w:pStyle w:val="Compact"/>
        <w:numPr>
          <w:ilvl w:val="0"/>
          <w:numId w:val="1009"/>
        </w:numPr>
      </w:pPr>
      <w:r>
        <w:t xml:space="preserve">AbbVie announcement scheduling 2Q26 earnings for July 31, 2026</w:t>
      </w:r>
    </w:p>
    <w:p>
      <w:pPr>
        <w:pStyle w:val="Compact"/>
        <w:numPr>
          <w:ilvl w:val="0"/>
          <w:numId w:val="1009"/>
        </w:numPr>
      </w:pPr>
      <w:r>
        <w:t xml:space="preserve">ABBV closing-price history through July 30, 2026</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2026-07-31T00:15:42Z</dcterms:created>
  <dcterms:modified xsi:type="dcterms:W3CDTF">2026-07-31T00:15:42Z</dcterms:modified>
</cp:coreProperties>
</file>

<file path=docProps/custom.xml><?xml version="1.0" encoding="utf-8"?>
<Properties xmlns="http://schemas.openxmlformats.org/officeDocument/2006/custom-properties" xmlns:vt="http://schemas.openxmlformats.org/officeDocument/2006/docPropsVTypes"/>
</file>