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material to write the preview with proper citations.Now I have all the material needed. Let me write the earnings preview.Now fixing the catastrophe section citations:The document is now consistent. Let me view the final version to make sure it reads well.This looks complete and well-sourced. Here's the final earnings preview:</w:t>
      </w:r>
    </w:p>
    <w:bookmarkStart w:id="16" w:name="X97ecadd60ef79c0fd0c21d5b13a5b09bacbfa7d"/>
    <w:p>
      <w:pPr>
        <w:pStyle w:val="Heading1"/>
      </w:pPr>
      <w:r>
        <w:t xml:space="preserve">Arch Capital Group (ACGL) — Q2 2026 Earnings Preview</w:t>
      </w:r>
    </w:p>
    <w:p>
      <w:pPr>
        <w:pStyle w:val="FirstParagraph"/>
      </w:pPr>
      <w:r>
        <w:rPr>
          <w:b/>
          <w:bCs/>
        </w:rPr>
        <w:t xml:space="preserve">Report date:</w:t>
      </w:r>
      <w:r>
        <w:t xml:space="preserve"> </w:t>
      </w:r>
      <w:r>
        <w:t xml:space="preserve">Tuesday, July 28, 2026 (after market close) |</w:t>
      </w:r>
      <w:r>
        <w:t xml:space="preserve"> </w:t>
      </w:r>
      <w:r>
        <w:rPr>
          <w:b/>
          <w:bCs/>
        </w:rPr>
        <w:t xml:space="preserve">Call:</w:t>
      </w:r>
      <w:r>
        <w:t xml:space="preserve"> </w:t>
      </w:r>
      <w:r>
        <w:t xml:space="preserve">Wednesday, July 29, 2026, 10:00 a.m. ET</w:t>
      </w:r>
    </w:p>
    <w:p>
      <w:r>
        <w:pict>
          <v:rect style="width:0;height:1.5pt" o:hralign="center" o:hrstd="t" o:hr="t"/>
        </w:pict>
      </w:r>
    </w:p>
    <w:bookmarkStart w:id="9" w:name="Xccd0cd2a1e9c6ef2f2c7097f8f85f850d452fe8"/>
    <w:p>
      <w:pPr>
        <w:pStyle w:val="Heading2"/>
      </w:pPr>
      <w:r>
        <w:t xml:space="preserve">1. The Setup</w:t>
      </w:r>
    </w:p>
    <w:p>
      <w:pPr>
        <w:pStyle w:val="FirstParagraph"/>
      </w:pPr>
      <w:r>
        <w:t xml:space="preserve">Arch heads into this print off a strong Q1 and a stock that has rallied hard into earnings. Shares bottomed near $87-89 in late May/early June and have since climbed to roughly $104, a move of nearly 20% over the past two months, including a jump from about $98 to $102 in early July. The stock's 52-week return (+17.3%) has modestly lagged the S&amp;P 500, but momentum has clearly been positive heading into the print, which raises the bar for a "clean" beat.</w:t>
      </w:r>
    </w:p>
    <w:p>
      <w:pPr>
        <w:pStyle w:val="BodyText"/>
      </w:pPr>
      <w:r>
        <w:rPr>
          <w:b/>
          <w:bCs/>
        </w:rPr>
        <w:t xml:space="preserve">Consensus expectations:</w:t>
      </w:r>
    </w:p>
    <w:p>
      <w:pPr>
        <w:pStyle w:val="Compact"/>
        <w:numPr>
          <w:ilvl w:val="0"/>
          <w:numId w:val="1001"/>
        </w:numPr>
      </w:pPr>
      <w:r>
        <w:t xml:space="preserve">EPS:</w:t>
      </w:r>
      <w:r>
        <w:t xml:space="preserve"> </w:t>
      </w:r>
      <w:r>
        <w:t xml:space="preserve">analysts expect the company to report diluted EPS of $2.45, down 5% from $2.58 in the year-ago quarter</w:t>
      </w:r>
      <w:r>
        <w:t xml:space="preserve"> </w:t>
      </w:r>
      <w:r>
        <w:t xml:space="preserve">(Zacks consensus is essentially identical at $2.46, per multiple outlets).</w:t>
      </w:r>
    </w:p>
    <w:p>
      <w:pPr>
        <w:pStyle w:val="Compact"/>
        <w:numPr>
          <w:ilvl w:val="0"/>
          <w:numId w:val="1001"/>
        </w:numPr>
      </w:pPr>
      <w:r>
        <w:t xml:space="preserve">Revenue:</w:t>
      </w:r>
      <w:r>
        <w:t xml:space="preserve"> </w:t>
      </w:r>
      <w:r>
        <w:t xml:space="preserve">The Zacks Consensus Estimate for ACGL's second-quarter revenues is pegged at $4.59 billion, indicating a 3.5% decline from the year-ago quarter's reported figure</w:t>
      </w:r>
      <w:r>
        <w:t xml:space="preserve">.</w:t>
      </w:r>
    </w:p>
    <w:p>
      <w:pPr>
        <w:pStyle w:val="Compact"/>
        <w:numPr>
          <w:ilvl w:val="0"/>
          <w:numId w:val="1001"/>
        </w:numPr>
      </w:pPr>
      <w:r>
        <w:t xml:space="preserve">Estimate revisions have skewed slightly negative into the print:</w:t>
      </w:r>
      <w:r>
        <w:t xml:space="preserve"> </w:t>
      </w:r>
      <w:r>
        <w:t xml:space="preserve">the consensus EPS estimate for the quarter has undergone a downward revision of 2% in the past 30 days</w:t>
      </w:r>
      <w:r>
        <w:t xml:space="preserve">.</w:t>
      </w:r>
    </w:p>
    <w:p>
      <w:pPr>
        <w:pStyle w:val="Compact"/>
        <w:numPr>
          <w:ilvl w:val="0"/>
          <w:numId w:val="1001"/>
        </w:numPr>
      </w:pPr>
      <w:r>
        <w:t xml:space="preserve">Zacks' quantitative model is not calling a beat this quarter:</w:t>
      </w:r>
      <w:r>
        <w:t xml:space="preserve"> </w:t>
      </w:r>
      <w:r>
        <w:t xml:space="preserve">Arch Capital has an Earnings ESP of -1.56% at present... because the Most Accurate Estimate of $2.43 per share is pegged lower than the Zacks Consensus Estimate of $2.46</w:t>
      </w:r>
      <w:r>
        <w:t xml:space="preserve">. That said,</w:t>
      </w:r>
      <w:r>
        <w:t xml:space="preserve"> </w:t>
      </w:r>
      <w:r>
        <w:t xml:space="preserve">ACGL has exceeded Wall Street's EPS estimates in each of the last four quarters, which is impressive</w:t>
      </w:r>
      <w:r>
        <w:t xml:space="preserve">, so the bar has consistently been cleared in recent history.</w:t>
      </w:r>
    </w:p>
    <w:p>
      <w:pPr>
        <w:pStyle w:val="Compact"/>
        <w:numPr>
          <w:ilvl w:val="0"/>
          <w:numId w:val="1001"/>
        </w:numPr>
      </w:pPr>
      <w:r>
        <w:t xml:space="preserve">Sell-side sentiment has stayed constructive:</w:t>
      </w:r>
      <w:r>
        <w:t xml:space="preserve"> </w:t>
      </w:r>
      <w:r>
        <w:t xml:space="preserve">Arch Capital Group had its price target raised by Wells Fargo &amp; Company from $110.00 to $114.00, and now have an "overweight" rating on the stock</w:t>
      </w:r>
      <w:r>
        <w:t xml:space="preserve">, while Atlantic Securities set a new $126 price target in mid-July and Cantor Fitzgerald reaffirmed a neutral rating with a $102 target.</w:t>
      </w:r>
    </w:p>
    <w:bookmarkEnd w:id="9"/>
    <w:bookmarkStart w:id="10" w:name="Xb546c8884e8db7e13745397b3bab5d50b62de17"/>
    <w:p>
      <w:pPr>
        <w:pStyle w:val="Heading2"/>
      </w:pPr>
      <w:r>
        <w:t xml:space="preserve">2. Where Arch Left Off: Q1 2026 Recap</w:t>
      </w:r>
    </w:p>
    <w:p>
      <w:pPr>
        <w:pStyle w:val="FirstParagraph"/>
      </w:pPr>
      <w:r>
        <w:t xml:space="preserve">Q1 2026 was a strong quarter and the natural jumping-off point for this print. Arch delivered after-tax operating income of $901 million, or $2.50/share (15.4% annualized operating ROE), and net income of $1.04 billion, or</w:t>
      </w:r>
      <w:r>
        <w:t xml:space="preserve"> </w:t>
      </w:r>
      <m:oMath>
        <m:r>
          <m:t>2.88</m:t>
        </m:r>
        <m:r>
          <m:rPr>
            <m:sty m:val="p"/>
          </m:rPr>
          <m:t>/</m:t>
        </m:r>
        <m:r>
          <m:t>s</m:t>
        </m:r>
        <m:r>
          <m:t>h</m:t>
        </m:r>
        <m:r>
          <m:t>a</m:t>
        </m:r>
        <m:r>
          <m:t>r</m:t>
        </m:r>
        <m:r>
          <m:t>e</m:t>
        </m:r>
        <m:r>
          <m:rPr>
            <m:sty m:val="p"/>
          </m:rPr>
          <m:t>(</m:t>
        </m:r>
        <m:r>
          <m:t>17.8</m:t>
        </m:r>
      </m:oMath>
      <w:r>
        <w:t xml:space="preserve">174 million of current-year cat losses) and $200 million of net favorable prior-year reserve development. The consolidated combined ratio was 81.7%, with an ex-cat/ex-PYD combined ratio of 82.3% — about 130 bps worse than Q1 2025, consistent with a more competitive pricing environment.</w:t>
      </w:r>
    </w:p>
    <w:p>
      <w:pPr>
        <w:pStyle w:val="BodyText"/>
      </w:pPr>
      <w:r>
        <w:t xml:space="preserve">By segment in Q1:</w:t>
      </w:r>
    </w:p>
    <w:p>
      <w:pPr>
        <w:pStyle w:val="Compact"/>
        <w:numPr>
          <w:ilvl w:val="0"/>
          <w:numId w:val="1002"/>
        </w:numPr>
      </w:pPr>
      <w:r>
        <w:rPr>
          <w:b/>
          <w:bCs/>
        </w:rPr>
        <w:t xml:space="preserve">Insurance</w:t>
      </w:r>
      <w:r>
        <w:t xml:space="preserve">:</w:t>
      </w:r>
      <w:r>
        <w:t xml:space="preserve"> </w:t>
      </w:r>
      <m:oMath>
        <m:r>
          <m:t>66</m:t>
        </m:r>
        <m:r>
          <m:t>m</m:t>
        </m:r>
        <m:r>
          <m:t>i</m:t>
        </m:r>
        <m:r>
          <m:t>l</m:t>
        </m:r>
        <m:r>
          <m:t>l</m:t>
        </m:r>
        <m:r>
          <m:t>i</m:t>
        </m:r>
        <m:r>
          <m:t>o</m:t>
        </m:r>
        <m:r>
          <m:t>n</m:t>
        </m:r>
        <m:r>
          <m:t>u</m:t>
        </m:r>
        <m:r>
          <m:t>n</m:t>
        </m:r>
        <m:r>
          <m:t>d</m:t>
        </m:r>
        <m:r>
          <m:t>e</m:t>
        </m:r>
        <m:r>
          <m:t>r</m:t>
        </m:r>
        <m:r>
          <m:t>w</m:t>
        </m:r>
        <m:r>
          <m:t>r</m:t>
        </m:r>
        <m:r>
          <m:t>i</m:t>
        </m:r>
        <m:r>
          <m:t>t</m:t>
        </m:r>
        <m:r>
          <m:t>i</m:t>
        </m:r>
        <m:r>
          <m:t>n</m:t>
        </m:r>
        <m:r>
          <m:t>g</m:t>
        </m:r>
        <m:r>
          <m:t>i</m:t>
        </m:r>
        <m:r>
          <m:t>n</m:t>
        </m:r>
        <m:r>
          <m:t>c</m:t>
        </m:r>
        <m:r>
          <m:t>o</m:t>
        </m:r>
        <m:r>
          <m:t>m</m:t>
        </m:r>
        <m:r>
          <m:t>e</m:t>
        </m:r>
        <m:r>
          <m:rPr>
            <m:sty m:val="p"/>
          </m:rPr>
          <m:t>,</m:t>
        </m:r>
        <m:r>
          <m:t>e</m:t>
        </m:r>
        <m:r>
          <m:t>s</m:t>
        </m:r>
        <m:r>
          <m:t>s</m:t>
        </m:r>
        <m:r>
          <m:t>e</m:t>
        </m:r>
        <m:r>
          <m:t>n</m:t>
        </m:r>
        <m:r>
          <m:t>t</m:t>
        </m:r>
        <m:r>
          <m:t>i</m:t>
        </m:r>
        <m:r>
          <m:t>a</m:t>
        </m:r>
        <m:r>
          <m:t>l</m:t>
        </m:r>
        <m:r>
          <m:t>l</m:t>
        </m:r>
        <m:r>
          <m:t>y</m:t>
        </m:r>
        <m:r>
          <m:t>f</m:t>
        </m:r>
        <m:r>
          <m:t>l</m:t>
        </m:r>
        <m:r>
          <m:t>a</m:t>
        </m:r>
        <m:r>
          <m:t>t</m:t>
        </m:r>
        <m:r>
          <m:t>n</m:t>
        </m:r>
        <m:r>
          <m:t>e</m:t>
        </m:r>
        <m:r>
          <m:t>t</m:t>
        </m:r>
        <m:r>
          <m:t>p</m:t>
        </m:r>
        <m:r>
          <m:t>r</m:t>
        </m:r>
        <m:r>
          <m:t>e</m:t>
        </m:r>
        <m:r>
          <m:t>m</m:t>
        </m:r>
        <m:r>
          <m:t>i</m:t>
        </m:r>
        <m:r>
          <m:t>u</m:t>
        </m:r>
        <m:r>
          <m:t>m</m:t>
        </m:r>
        <m:r>
          <m:t>s</m:t>
        </m:r>
        <m:r>
          <m:t>w</m:t>
        </m:r>
        <m:r>
          <m:t>r</m:t>
        </m:r>
        <m:r>
          <m:t>i</m:t>
        </m:r>
        <m:r>
          <m:t>t</m:t>
        </m:r>
        <m:r>
          <m:t>t</m:t>
        </m:r>
        <m:r>
          <m:t>e</m:t>
        </m:r>
        <m:r>
          <m:t>n</m:t>
        </m:r>
        <m:r>
          <m:rPr>
            <m:sty m:val="p"/>
          </m:rPr>
          <m:t>(</m:t>
        </m:r>
        <m:r>
          <m:t>d</m:t>
        </m:r>
        <m:r>
          <m:t>o</m:t>
        </m:r>
        <m:r>
          <m:t>w</m:t>
        </m:r>
        <m:r>
          <m:t>n</m:t>
        </m:r>
        <m:r>
          <m:t>1.4</m:t>
        </m:r>
      </m:oMath>
      <w:r>
        <w:t xml:space="preserve">250 million of non-renewed MidCorp/Entertainment (MCE) program business that didn't meet its risk-return bar, while growing in casualty, E&amp;S casualty, construction and alternative markets.</w:t>
      </w:r>
    </w:p>
    <w:p>
      <w:pPr>
        <w:pStyle w:val="Compact"/>
        <w:numPr>
          <w:ilvl w:val="0"/>
          <w:numId w:val="1002"/>
        </w:numPr>
      </w:pPr>
      <w:r>
        <w:rPr>
          <w:b/>
          <w:bCs/>
        </w:rPr>
        <w:t xml:space="preserve">Reinsurance</w:t>
      </w:r>
      <w:r>
        <w:t xml:space="preserve">: A standout $441 million of underwriting income and a 76% reported combined ratio (78.1% ex-cat/ex-PYD) — the segment's fourth straight quarter of sub-80% combined ratios — even as net premiums written fell 6% amid property-cat rate softening and reduced reinstatement premiums.</w:t>
      </w:r>
    </w:p>
    <w:p>
      <w:pPr>
        <w:pStyle w:val="Compact"/>
        <w:numPr>
          <w:ilvl w:val="0"/>
          <w:numId w:val="1002"/>
        </w:numPr>
      </w:pPr>
      <w:r>
        <w:rPr>
          <w:b/>
          <w:bCs/>
        </w:rPr>
        <w:t xml:space="preserve">Mortgage</w:t>
      </w:r>
      <w:r>
        <w:t xml:space="preserve">: Another strong quarter, $221 million of underwriting income, with credit quality still excellent, though delinquencies ticked up modestly and reserves were affected by larger average loan sizes tied to post-COVID vintages.</w:t>
      </w:r>
    </w:p>
    <w:p>
      <w:pPr>
        <w:pStyle w:val="Compact"/>
        <w:numPr>
          <w:ilvl w:val="0"/>
          <w:numId w:val="1002"/>
        </w:numPr>
      </w:pPr>
      <w:r>
        <w:rPr>
          <w:b/>
          <w:bCs/>
        </w:rPr>
        <w:t xml:space="preserve">Capital return</w:t>
      </w:r>
      <w:r>
        <w:t xml:space="preserve">: $783 million of buybacks in Q1 (87% of operating income) plus a further $311 million through late April, alongside a $3 billion increase to the repurchase authorization — underscoring management's preference to return capital rather than chase unattractive growth.</w:t>
      </w:r>
    </w:p>
    <w:p>
      <w:pPr>
        <w:pStyle w:val="Compact"/>
        <w:numPr>
          <w:ilvl w:val="0"/>
          <w:numId w:val="1002"/>
        </w:numPr>
      </w:pPr>
      <w:r>
        <w:rPr>
          <w:b/>
          <w:bCs/>
        </w:rPr>
        <w:t xml:space="preserve">One item to track forward</w:t>
      </w:r>
      <w:r>
        <w:t xml:space="preserve">: management flagged an estimated ~</w:t>
      </w:r>
      <m:oMath>
        <m:r>
          <m:t>3</m:t>
        </m:r>
        <m:r>
          <m:t>b</m:t>
        </m:r>
        <m:r>
          <m:t>i</m:t>
        </m:r>
        <m:r>
          <m:t>l</m:t>
        </m:r>
        <m:r>
          <m:t>l</m:t>
        </m:r>
        <m:r>
          <m:t>i</m:t>
        </m:r>
        <m:r>
          <m:t>o</m:t>
        </m:r>
        <m:r>
          <m:t>n</m:t>
        </m:r>
        <m:r>
          <m:t>i</m:t>
        </m:r>
        <m:r>
          <m:t>n</m:t>
        </m:r>
        <m:r>
          <m:t>d</m:t>
        </m:r>
        <m:r>
          <m:t>u</m:t>
        </m:r>
        <m:r>
          <m:t>s</m:t>
        </m:r>
        <m:r>
          <m:t>t</m:t>
        </m:r>
        <m:r>
          <m:t>r</m:t>
        </m:r>
        <m:r>
          <m:t>y</m:t>
        </m:r>
        <m:r>
          <m:t>l</m:t>
        </m:r>
        <m:r>
          <m:t>o</m:t>
        </m:r>
        <m:r>
          <m:t>s</m:t>
        </m:r>
        <m:r>
          <m:t>s</m:t>
        </m:r>
        <m:r>
          <m:rPr>
            <m:sty m:val="p"/>
          </m:rPr>
          <m:t>(</m:t>
        </m:r>
        <m:r>
          <m:t>a</m:t>
        </m:r>
        <m:r>
          <m:t>n</m:t>
        </m:r>
        <m:r>
          <m:t>d</m:t>
        </m:r>
        <m:r>
          <m:t> </m:t>
        </m:r>
      </m:oMath>
      <w:r>
        <w:t xml:space="preserve">2 billion of associated premium) tied to the Iran conflict for political violence/war/terror lines, mostly booked through London, and explicitly said "we do expect more losses to come through in the second quarter" — a swing factor for this print's cat/man-made loss line.</w:t>
      </w:r>
    </w:p>
    <w:bookmarkEnd w:id="10"/>
    <w:bookmarkStart w:id="11" w:name="X2153c68131b3f36cb817a2a05b4e311404e2cc0"/>
    <w:p>
      <w:pPr>
        <w:pStyle w:val="Heading2"/>
      </w:pPr>
      <w:r>
        <w:t xml:space="preserve">3. What to Watch by Segment This Quarter</w:t>
      </w:r>
    </w:p>
    <w:p>
      <w:pPr>
        <w:pStyle w:val="FirstParagraph"/>
      </w:pPr>
      <w:r>
        <w:rPr>
          <w:b/>
          <w:bCs/>
        </w:rPr>
        <w:t xml:space="preserve">Insurance:</w:t>
      </w:r>
      <w:r>
        <w:t xml:space="preserve"> </w:t>
      </w:r>
      <w:r>
        <w:t xml:space="preserve">The MCE program non-renewals (~</w:t>
      </w:r>
      <m:oMath>
        <m:r>
          <m:t>250</m:t>
        </m:r>
        <m:r>
          <m:t>m</m:t>
        </m:r>
        <m:r>
          <m:t>i</m:t>
        </m:r>
        <m:r>
          <m:t>l</m:t>
        </m:r>
        <m:r>
          <m:t>l</m:t>
        </m:r>
        <m:r>
          <m:t>i</m:t>
        </m:r>
        <m:r>
          <m:t>o</m:t>
        </m:r>
        <m:r>
          <m:t>n</m:t>
        </m:r>
        <m:r>
          <m:t>o</m:t>
        </m:r>
        <m:r>
          <m:t>f</m:t>
        </m:r>
        <m:r>
          <m:t>N</m:t>
        </m:r>
        <m:r>
          <m:t>P</m:t>
        </m:r>
        <m:r>
          <m:t>W</m:t>
        </m:r>
        <m:r>
          <m:t>h</m:t>
        </m:r>
        <m:r>
          <m:t>e</m:t>
        </m:r>
        <m:r>
          <m:t>a</m:t>
        </m:r>
        <m:r>
          <m:t>d</m:t>
        </m:r>
        <m:r>
          <m:t>w</m:t>
        </m:r>
        <m:r>
          <m:t>i</m:t>
        </m:r>
        <m:r>
          <m:t>n</m:t>
        </m:r>
        <m:r>
          <m:t>d</m:t>
        </m:r>
        <m:r>
          <m:t>f</m:t>
        </m:r>
        <m:r>
          <m:t>o</m:t>
        </m:r>
        <m:r>
          <m:t>r</m:t>
        </m:r>
        <m:r>
          <m:t>f</m:t>
        </m:r>
        <m:r>
          <m:t>u</m:t>
        </m:r>
        <m:r>
          <m:t>l</m:t>
        </m:r>
        <m:r>
          <m:t>l</m:t>
        </m:r>
        <m:r>
          <m:rPr>
            <m:sty m:val="p"/>
          </m:rPr>
          <m:t>−</m:t>
        </m:r>
        <m:r>
          <m:t>y</m:t>
        </m:r>
        <m:r>
          <m:t>e</m:t>
        </m:r>
        <m:r>
          <m:t>a</m:t>
        </m:r>
        <m:r>
          <m:t>r</m:t>
        </m:r>
        <m:r>
          <m:t>2026</m:t>
        </m:r>
        <m:r>
          <m:rPr>
            <m:sty m:val="p"/>
          </m:rPr>
          <m:t>)</m:t>
        </m:r>
        <m:r>
          <m:t>w</m:t>
        </m:r>
        <m:r>
          <m:t>i</m:t>
        </m:r>
        <m:r>
          <m:t>l</m:t>
        </m:r>
        <m:r>
          <m:t>l</m:t>
        </m:r>
        <m:r>
          <m:t>c</m:t>
        </m:r>
        <m:r>
          <m:t>o</m:t>
        </m:r>
        <m:r>
          <m:t>n</m:t>
        </m:r>
        <m:r>
          <m:t>t</m:t>
        </m:r>
        <m:r>
          <m:t>i</m:t>
        </m:r>
        <m:r>
          <m:t>n</m:t>
        </m:r>
        <m:r>
          <m:t>u</m:t>
        </m:r>
        <m:r>
          <m:t>e</m:t>
        </m:r>
        <m:r>
          <m:t>t</m:t>
        </m:r>
        <m:r>
          <m:t>o</m:t>
        </m:r>
        <m:r>
          <m:t>w</m:t>
        </m:r>
        <m:r>
          <m:t>e</m:t>
        </m:r>
        <m:r>
          <m:t>i</m:t>
        </m:r>
        <m:r>
          <m:t>g</m:t>
        </m:r>
        <m:r>
          <m:t>h</m:t>
        </m:r>
        <m:r>
          <m:t>o</m:t>
        </m:r>
        <m:r>
          <m:t>n</m:t>
        </m:r>
        <m:r>
          <m:t>r</m:t>
        </m:r>
        <m:r>
          <m:t>e</m:t>
        </m:r>
        <m:r>
          <m:t>p</m:t>
        </m:r>
        <m:r>
          <m:t>o</m:t>
        </m:r>
        <m:r>
          <m:t>r</m:t>
        </m:r>
        <m:r>
          <m:t>t</m:t>
        </m:r>
        <m:r>
          <m:t>e</m:t>
        </m:r>
        <m:r>
          <m:t>d</m:t>
        </m:r>
        <m:r>
          <m:t>t</m:t>
        </m:r>
        <m:r>
          <m:t>o</m:t>
        </m:r>
        <m:r>
          <m:t>p</m:t>
        </m:r>
        <m:r>
          <m:rPr>
            <m:sty m:val="p"/>
          </m:rPr>
          <m:t>−</m:t>
        </m:r>
        <m:r>
          <m:t>l</m:t>
        </m:r>
        <m:r>
          <m:t>i</m:t>
        </m:r>
        <m:r>
          <m:t>n</m:t>
        </m:r>
        <m:r>
          <m:t>e</m:t>
        </m:r>
        <m:r>
          <m:t>g</m:t>
        </m:r>
        <m:r>
          <m:t>r</m:t>
        </m:r>
        <m:r>
          <m:t>o</m:t>
        </m:r>
        <m:r>
          <m:t>w</m:t>
        </m:r>
        <m:r>
          <m:t>t</m:t>
        </m:r>
        <m:r>
          <m:t>h</m:t>
        </m:r>
        <m:r>
          <m:rPr>
            <m:sty m:val="p"/>
          </m:rPr>
          <m:t>,</m:t>
        </m:r>
        <m:r>
          <m:t>t</m:t>
        </m:r>
        <m:r>
          <m:t>h</m:t>
        </m:r>
        <m:r>
          <m:t>o</m:t>
        </m:r>
        <m:r>
          <m:t>u</m:t>
        </m:r>
        <m:r>
          <m:t>g</m:t>
        </m:r>
        <m:r>
          <m:t>h</m:t>
        </m:r>
        <m:r>
          <m:t>m</m:t>
        </m:r>
        <m:r>
          <m:t>a</m:t>
        </m:r>
        <m:r>
          <m:t>n</m:t>
        </m:r>
        <m:r>
          <m:t>a</m:t>
        </m:r>
        <m:r>
          <m:t>g</m:t>
        </m:r>
        <m:r>
          <m:t>e</m:t>
        </m:r>
        <m:r>
          <m:t>m</m:t>
        </m:r>
        <m:r>
          <m:t>e</m:t>
        </m:r>
        <m:r>
          <m:t>n</m:t>
        </m:r>
        <m:r>
          <m:t>t</m:t>
        </m:r>
        <m:r>
          <m:t>h</m:t>
        </m:r>
        <m:r>
          <m:t>a</m:t>
        </m:r>
        <m:r>
          <m:t>s</m:t>
        </m:r>
        <m:r>
          <m:t>s</m:t>
        </m:r>
        <m:r>
          <m:t>a</m:t>
        </m:r>
        <m:r>
          <m:t>i</m:t>
        </m:r>
        <m:r>
          <m:t>d</m:t>
        </m:r>
        <m:r>
          <m:t>t</m:t>
        </m:r>
        <m:r>
          <m:t>h</m:t>
        </m:r>
        <m:r>
          <m:t>e</m:t>
        </m:r>
        <m:r>
          <m:t>u</m:t>
        </m:r>
        <m:r>
          <m:t>n</m:t>
        </m:r>
        <m:r>
          <m:t>d</m:t>
        </m:r>
        <m:r>
          <m:t>e</m:t>
        </m:r>
        <m:r>
          <m:t>r</m:t>
        </m:r>
        <m:r>
          <m:t>l</m:t>
        </m:r>
        <m:r>
          <m:t>y</m:t>
        </m:r>
        <m:r>
          <m:t>i</m:t>
        </m:r>
        <m:r>
          <m:t>n</m:t>
        </m:r>
        <m:r>
          <m:t>g</m:t>
        </m:r>
        <m:r>
          <m:t>i</m:t>
        </m:r>
        <m:r>
          <m:t>m</m:t>
        </m:r>
        <m:r>
          <m:t>p</m:t>
        </m:r>
        <m:r>
          <m:t>a</m:t>
        </m:r>
        <m:r>
          <m:t>c</m:t>
        </m:r>
        <m:r>
          <m:t>t</m:t>
        </m:r>
        <m:r>
          <m:t>s</m:t>
        </m:r>
        <m:r>
          <m:t>h</m:t>
        </m:r>
        <m:r>
          <m:t>o</m:t>
        </m:r>
        <m:r>
          <m:t>u</m:t>
        </m:r>
        <m:r>
          <m:t>l</m:t>
        </m:r>
        <m:r>
          <m:t>d</m:t>
        </m:r>
        <m:r>
          <m:t>b</m:t>
        </m:r>
        <m:r>
          <m:t>e</m:t>
        </m:r>
        <m:r>
          <m:t>i</m:t>
        </m:r>
        <m:r>
          <m:t>m</m:t>
        </m:r>
        <m:r>
          <m:t>m</m:t>
        </m:r>
        <m:r>
          <m:t>a</m:t>
        </m:r>
        <m:r>
          <m:t>t</m:t>
        </m:r>
        <m:r>
          <m:t>e</m:t>
        </m:r>
        <m:r>
          <m:t>r</m:t>
        </m:r>
        <m:r>
          <m:t>i</m:t>
        </m:r>
        <m:r>
          <m:t>a</m:t>
        </m:r>
        <m:r>
          <m:t>l</m:t>
        </m:r>
        <m:r>
          <m:t>t</m:t>
        </m:r>
        <m:r>
          <m:t>o</m:t>
        </m:r>
        <m:r>
          <m:t>a</m:t>
        </m:r>
        <m:r>
          <m:t>n</m:t>
        </m:r>
        <m:r>
          <m:t> </m:t>
        </m:r>
      </m:oMath>
      <w:r>
        <w:t xml:space="preserve">8 billion segment as it earns through. Watch the underwriting expense ratio, which Arch guided should "revert back to a level closer to historical levels" in the second half of 2026 after elevated MidCorp systems-transition costs in Q1 — the just-completed Allianz-to-Arch systems migration should start showing that benefit. Casualty lines (E&amp;S casualty, construction, alternative markets, London) remain the growth engines; short-tail property remains a headwind as rates soften.</w:t>
      </w:r>
    </w:p>
    <w:p>
      <w:pPr>
        <w:pStyle w:val="BodyText"/>
      </w:pPr>
      <w:r>
        <w:rPr>
          <w:b/>
          <w:bCs/>
        </w:rPr>
        <w:t xml:space="preserve">Reinsurance:</w:t>
      </w:r>
      <w:r>
        <w:t xml:space="preserve"> </w:t>
      </w:r>
      <w:r>
        <w:t xml:space="preserve">The segment most exposed to the cycle-turn narrative. Property-cat pricing continued to soften into the June/July renewals, and management has been explicit it will shrink where risk-adjusted returns fall below target rather than chase volume — watch net premiums written trends and the updated peak-zone PML disclosure (management flagged 6/1 and 7/1 as more meaningful than the flat 4/1 read). Casualty reinsurance quota-share growth (and ceding-commission dynamics, complicated by the rise of casualty sidecars) is the offsetting growth story.</w:t>
      </w:r>
    </w:p>
    <w:p>
      <w:pPr>
        <w:pStyle w:val="BodyText"/>
      </w:pPr>
      <w:r>
        <w:rPr>
          <w:b/>
          <w:bCs/>
        </w:rPr>
        <w:t xml:space="preserve">Mortgage:</w:t>
      </w:r>
      <w:r>
        <w:t xml:space="preserve"> </w:t>
      </w:r>
      <w:r>
        <w:t xml:space="preserve">Watch delinquency trends and the loss ratio, which management said reflects rising average loan-in-default size (post-COVID vintages) rather than a change in frequency assumptions. NIW should be examined for whether the Q1 boost from a large non-GSE transaction (+15% to NIW) creates a tough comp.</w:t>
      </w:r>
    </w:p>
    <w:p>
      <w:pPr>
        <w:pStyle w:val="BodyText"/>
      </w:pPr>
      <w:r>
        <w:rPr>
          <w:b/>
          <w:bCs/>
        </w:rPr>
        <w:t xml:space="preserve">Investments:</w:t>
      </w:r>
      <w:r>
        <w:t xml:space="preserve"> </w:t>
      </w:r>
      <w:r>
        <w:t xml:space="preserve">Net investment income was $408 million in Q1 (down from</w:t>
      </w:r>
      <w:r>
        <w:t xml:space="preserve"> </w:t>
      </w:r>
      <m:oMath>
        <m:r>
          <m:t>434</m:t>
        </m:r>
        <m:r>
          <m:t>m</m:t>
        </m:r>
        <m:r>
          <m:t>m</m:t>
        </m:r>
        <m:r>
          <m:t>i</m:t>
        </m:r>
        <m:r>
          <m:t>n</m:t>
        </m:r>
        <m:r>
          <m:t>Q</m:t>
        </m:r>
        <m:r>
          <m:t>4</m:t>
        </m:r>
        <m:r>
          <m:t>2025</m:t>
        </m:r>
        <m:r>
          <m:rPr>
            <m:sty m:val="p"/>
          </m:rPr>
          <m:t>)</m:t>
        </m:r>
        <m:r>
          <m:t>o</m:t>
        </m:r>
        <m:r>
          <m:t>n</m:t>
        </m:r>
        <m:r>
          <m:t>l</m:t>
        </m:r>
        <m:r>
          <m:t>o</m:t>
        </m:r>
        <m:r>
          <m:t>w</m:t>
        </m:r>
        <m:r>
          <m:t>e</m:t>
        </m:r>
        <m:r>
          <m:t>r</m:t>
        </m:r>
        <m:r>
          <m:t>c</m:t>
        </m:r>
        <m:r>
          <m:t>a</m:t>
        </m:r>
        <m:r>
          <m:t>s</m:t>
        </m:r>
        <m:r>
          <m:t>h</m:t>
        </m:r>
        <m:r>
          <m:t>y</m:t>
        </m:r>
        <m:r>
          <m:t>i</m:t>
        </m:r>
        <m:r>
          <m:t>e</m:t>
        </m:r>
        <m:r>
          <m:t>l</m:t>
        </m:r>
        <m:r>
          <m:t>d</m:t>
        </m:r>
        <m:r>
          <m:t>s</m:t>
        </m:r>
        <m:r>
          <m:t>a</m:t>
        </m:r>
        <m:r>
          <m:t>n</m:t>
        </m:r>
        <m:r>
          <m:t>d</m:t>
        </m:r>
        <m:r>
          <m:t>Q</m:t>
        </m:r>
        <m:r>
          <m:t>R</m:t>
        </m:r>
        <m:r>
          <m:t>T</m:t>
        </m:r>
        <m:r>
          <m:t>C</m:t>
        </m:r>
        <m:r>
          <m:t>b</m:t>
        </m:r>
        <m:r>
          <m:t>e</m:t>
        </m:r>
        <m:r>
          <m:t>n</m:t>
        </m:r>
        <m:r>
          <m:t>e</m:t>
        </m:r>
        <m:r>
          <m:t>f</m:t>
        </m:r>
        <m:r>
          <m:t>i</m:t>
        </m:r>
        <m:r>
          <m:t>t</m:t>
        </m:r>
        <m:r>
          <m:t>s</m:t>
        </m:r>
        <m:r>
          <m:rPr>
            <m:sty m:val="p"/>
          </m:rPr>
          <m:t>;</m:t>
        </m:r>
        <m:r>
          <m:t>w</m:t>
        </m:r>
        <m:r>
          <m:t>i</m:t>
        </m:r>
        <m:r>
          <m:t>t</m:t>
        </m:r>
        <m:r>
          <m:t>h</m:t>
        </m:r>
        <m:r>
          <m:t>t</m:t>
        </m:r>
        <m:r>
          <m:t>h</m:t>
        </m:r>
        <m:r>
          <m:t>e</m:t>
        </m:r>
        <m:r>
          <m:t> </m:t>
        </m:r>
      </m:oMath>
      <w:r>
        <w:t xml:space="preserve">48 billion portfolio still growing on strong operating cash flow, a sequential recovery here is reasonable, though Fed rate-cut expectations are a swing factor.</w:t>
      </w:r>
    </w:p>
    <w:bookmarkEnd w:id="11"/>
    <w:bookmarkStart w:id="12" w:name="X75bdbad4ba1d5015f4130a4ba740b218cea475e"/>
    <w:p>
      <w:pPr>
        <w:pStyle w:val="Heading2"/>
      </w:pPr>
      <w:r>
        <w:t xml:space="preserve">4. Catastrophe Backdrop for the Quarter</w:t>
      </w:r>
    </w:p>
    <w:p>
      <w:pPr>
        <w:pStyle w:val="FirstParagraph"/>
      </w:pPr>
      <w:r>
        <w:t xml:space="preserve">Industry-wide catastrophe activity in H1 2026 has been comparatively benign.</w:t>
      </w:r>
      <w:r>
        <w:t xml:space="preserve"> </w:t>
      </w:r>
      <w:r>
        <w:t xml:space="preserve">Insured losses from catastrophe events across the globe in the first half of 2026 are estimated to have reached $47 billion, significantly down on last year's $100 billion</w:t>
      </w:r>
      <w:r>
        <w:t xml:space="preserve">, with severe convective storms (SCS) the dominant peril. SCS activity was concentrated in Q2:</w:t>
      </w:r>
      <w:r>
        <w:t xml:space="preserve"> </w:t>
      </w:r>
      <w:r>
        <w:t xml:space="preserve">insured losses from US severe convective storms totalled approximately $27 billion in H1 2026, significantly below the $40 billion-plus recorded in H1 of years 2023</w:t>
      </w:r>
      <w:r>
        <w:t xml:space="preserve">-2025, with an April 23-29 outbreak alone generating over $5 billion in losses. Peer read-throughs have been mixed — Cincinnati Financial missed Q2 estimates on elevated cat losses (EPS $1.43 vs. $1.82 expected, combined ratio ~300bps worse than anticipated). Arch's book skews more toward specialty/commercial and Florida-weighted property-cat than CINF's personal-lines book, so the read-through isn't direct, but it's a reminder the quarter wasn't loss-free. The bigger Arch-specific swing factor is the previously flagged Iran-conflict/political-violence losses in its London book, which management said would keep developing into Q2.</w:t>
      </w:r>
    </w:p>
    <w:bookmarkEnd w:id="12"/>
    <w:bookmarkStart w:id="13" w:name="X3e210816b0b61623988646c09666e7f7cad50f2"/>
    <w:p>
      <w:pPr>
        <w:pStyle w:val="Heading2"/>
      </w:pPr>
      <w:r>
        <w:t xml:space="preserve">5. Capital Management &amp; Balance Sheet</w:t>
      </w:r>
    </w:p>
    <w:p>
      <w:pPr>
        <w:pStyle w:val="FirstParagraph"/>
      </w:pPr>
      <w:r>
        <w:t xml:space="preserve">Arch enters the quarter with a fortress balance sheet (~$26.9 billion in capital at Q1-end) and has been buying back stock aggressively — $783 million in Q1 alone (up to 87% of operating income), backed by a fresh $3 billion authorization increase. Book value per share grew 1.7% sequentially in Q1 to $66.19. Watch for an update on debt-management activity (June tender offers to repurchase up to $417.9 million of subsidiary debt). With organic growth scarcer in a softening property market, buybacks should remain the primary capital-deployment lever; listen for any M&amp;A commentary (management remains open to deals only if "additive").</w:t>
      </w:r>
    </w:p>
    <w:bookmarkEnd w:id="13"/>
    <w:bookmarkStart w:id="14" w:name="X507e95ac1a52018d38ff024a462c26ef235e4d3"/>
    <w:p>
      <w:pPr>
        <w:pStyle w:val="Heading2"/>
      </w:pPr>
      <w:r>
        <w:t xml:space="preserve">6. Key Questions for Management</w:t>
      </w:r>
    </w:p>
    <w:p>
      <w:pPr>
        <w:pStyle w:val="Compact"/>
        <w:numPr>
          <w:ilvl w:val="0"/>
          <w:numId w:val="1003"/>
        </w:numPr>
      </w:pPr>
      <w:r>
        <w:rPr>
          <w:b/>
          <w:bCs/>
        </w:rPr>
        <w:t xml:space="preserve">Reinsurance property-cat cycle management:</w:t>
      </w:r>
      <w:r>
        <w:t xml:space="preserve"> </w:t>
      </w:r>
      <w:r>
        <w:t xml:space="preserve">How much further did mid-year renewal pricing soften, and how much did Arch shrink its book in response?</w:t>
      </w:r>
    </w:p>
    <w:p>
      <w:pPr>
        <w:pStyle w:val="Compact"/>
        <w:numPr>
          <w:ilvl w:val="0"/>
          <w:numId w:val="1003"/>
        </w:numPr>
      </w:pPr>
      <w:r>
        <w:rPr>
          <w:b/>
          <w:bCs/>
        </w:rPr>
        <w:t xml:space="preserve">Casualty reserves:</w:t>
      </w:r>
      <w:r>
        <w:t xml:space="preserve"> </w:t>
      </w:r>
      <w:r>
        <w:t xml:space="preserve">Is adverse development from 2016-2024 accident years continuing, sustaining above-trend casualty pricing?</w:t>
      </w:r>
    </w:p>
    <w:p>
      <w:pPr>
        <w:pStyle w:val="Compact"/>
        <w:numPr>
          <w:ilvl w:val="0"/>
          <w:numId w:val="1003"/>
        </w:numPr>
      </w:pPr>
      <w:r>
        <w:rPr>
          <w:b/>
          <w:bCs/>
        </w:rPr>
        <w:t xml:space="preserve">Iran/political-violence losses:</w:t>
      </w:r>
      <w:r>
        <w:t xml:space="preserve"> </w:t>
      </w:r>
      <w:r>
        <w:t xml:space="preserve">How much of the estimated $3 billion industry loss showed up this quarter?</w:t>
      </w:r>
    </w:p>
    <w:p>
      <w:pPr>
        <w:pStyle w:val="Compact"/>
        <w:numPr>
          <w:ilvl w:val="0"/>
          <w:numId w:val="1003"/>
        </w:numPr>
      </w:pPr>
      <w:r>
        <w:rPr>
          <w:b/>
          <w:bCs/>
        </w:rPr>
        <w:t xml:space="preserve">MidCorp trajectory:</w:t>
      </w:r>
      <w:r>
        <w:t xml:space="preserve"> </w:t>
      </w:r>
      <w:r>
        <w:t xml:space="preserve">With the systems cutover complete, does the expense ratio normalize, and what's the 2027 growth outlook?</w:t>
      </w:r>
    </w:p>
    <w:p>
      <w:pPr>
        <w:pStyle w:val="Compact"/>
        <w:numPr>
          <w:ilvl w:val="0"/>
          <w:numId w:val="1003"/>
        </w:numPr>
      </w:pPr>
      <w:r>
        <w:rPr>
          <w:b/>
          <w:bCs/>
        </w:rPr>
        <w:t xml:space="preserve">Capital return cadence:</w:t>
      </w:r>
      <w:r>
        <w:t xml:space="preserve"> </w:t>
      </w:r>
      <w:r>
        <w:t xml:space="preserve">Does buyback pace stay elevated through hurricane season?</w:t>
      </w:r>
    </w:p>
    <w:p>
      <w:pPr>
        <w:pStyle w:val="Compact"/>
        <w:numPr>
          <w:ilvl w:val="0"/>
          <w:numId w:val="1003"/>
        </w:numPr>
      </w:pPr>
      <w:r>
        <w:rPr>
          <w:b/>
          <w:bCs/>
        </w:rPr>
        <w:t xml:space="preserve">Casualty sidecars:</w:t>
      </w:r>
      <w:r>
        <w:t xml:space="preserve"> </w:t>
      </w:r>
      <w:r>
        <w:t xml:space="preserve">Any updated view on alternative capital's push into casualty quota shares echoing property-cat?</w:t>
      </w:r>
    </w:p>
    <w:bookmarkEnd w:id="14"/>
    <w:bookmarkStart w:id="15" w:name="X7a3bbf556adfc11a6000f5b234b318bdc6ae48e"/>
    <w:p>
      <w:pPr>
        <w:pStyle w:val="Heading2"/>
      </w:pPr>
      <w:r>
        <w:t xml:space="preserve">7. Bottom Line</w:t>
      </w:r>
    </w:p>
    <w:p>
      <w:pPr>
        <w:pStyle w:val="FirstParagraph"/>
      </w:pPr>
      <w:r>
        <w:t xml:space="preserve">Expectations are for a modest year-over-year EPS decline (~$2.45-2.46 vs. $2.58) and revenue decline (~3.5%) as property and property-cat pricing soften and Arch deliberately shrinks unattractive business rather than chase volume. The quantitative setup (negative Earnings ESP, downward revisions) suggests less margin for error, and the stock's strong run into the print (~+20% off June lows) raises the bar for a positive reaction. Still, Arch's core differentiators — granular cycle management, a diversified three-segment model, strong reserve development, and an aggressive buyback program — remain intact. The print will likely be judged less on the absolute beat/miss and more on: (1) reinsurance property-cat pricing/volume trajectory into H2, (2) whether casualty reserve strength keeps supporting above-trend pricing, and (3) confirmation that softer growth reflects discipline rather than lost competitive position.</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2026-07-28T01:33:40Z</dcterms:created>
  <dcterms:modified xsi:type="dcterms:W3CDTF">2026-07-28T01:33:40Z</dcterms:modified>
</cp:coreProperties>
</file>

<file path=docProps/custom.xml><?xml version="1.0" encoding="utf-8"?>
<Properties xmlns="http://schemas.openxmlformats.org/officeDocument/2006/custom-properties" xmlns:vt="http://schemas.openxmlformats.org/officeDocument/2006/docPropsVTypes"/>
</file>