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cgl-q2-2026-earnings-preview"/>
    <w:p>
      <w:pPr>
        <w:pStyle w:val="Heading1"/>
      </w:pPr>
      <w:r>
        <w:t xml:space="preserve">ACGL Q2 2026 Earnings Preview</w:t>
      </w:r>
    </w:p>
    <w:p>
      <w:pPr>
        <w:pStyle w:val="BlockText"/>
      </w:pPr>
      <w:r>
        <w:rPr>
          <w:b/>
          <w:bCs/>
        </w:rPr>
        <w:t xml:space="preserve">Timing clarification:</w:t>
      </w:r>
      <w:r>
        <w:t xml:space="preserve"> </w:t>
      </w:r>
      <w:r>
        <w:t xml:space="preserve">Arch Capital is scheduled to release Q2 results</w:t>
      </w:r>
      <w:r>
        <w:t xml:space="preserve"> </w:t>
      </w:r>
      <w:r>
        <w:rPr>
          <w:b/>
          <w:bCs/>
        </w:rPr>
        <w:t xml:space="preserve">after the market closes today, Tuesday, July 28, 2026</w:t>
      </w:r>
      <w:r>
        <w:t xml:space="preserve">. The earnings call is</w:t>
      </w:r>
      <w:r>
        <w:t xml:space="preserve"> </w:t>
      </w:r>
      <w:r>
        <w:rPr>
          <w:b/>
          <w:bCs/>
        </w:rPr>
        <w:t xml:space="preserve">tomorrow, Wednesday, July 29, at 10:00 a.m. ET</w:t>
      </w:r>
      <w:r>
        <w:t xml:space="preserve">. (</w:t>
      </w:r>
      <w:hyperlink r:id="rId9">
        <w:r>
          <w:rPr>
            <w:rStyle w:val="Hyperlink"/>
          </w:rPr>
          <w:t xml:space="preserve">archgroup.com</w:t>
        </w:r>
      </w:hyperlink>
      <w:r>
        <w:t xml:space="preserve">)</w:t>
      </w:r>
    </w:p>
    <w:bookmarkStart w:id="11" w:name="investment-setup"/>
    <w:p>
      <w:pPr>
        <w:pStyle w:val="Heading2"/>
      </w:pPr>
      <w:r>
        <w:t xml:space="preserve">Investment setup</w:t>
      </w:r>
    </w:p>
    <w:p>
      <w:pPr>
        <w:pStyle w:val="FirstParagraph"/>
      </w:pPr>
      <w:r>
        <w:t xml:space="preserve">Arch enters the quarter with excellent underwriting profitability and abundant capital, but also with a clear cyclical challenge: property-catastrophe reinsurance pricing is falling quickly, while organic growth opportunities across its three segments are becoming more limited.</w:t>
      </w:r>
    </w:p>
    <w:p>
      <w:pPr>
        <w:pStyle w:val="BodyText"/>
      </w:pPr>
      <w:r>
        <w:t xml:space="preserve">Public estimate aggregators put consensus near</w:t>
      </w:r>
      <w:r>
        <w:t xml:space="preserve"> </w:t>
      </w:r>
      <m:oMath>
        <m:r>
          <m:t>2.43</m:t>
        </m:r>
        <m:r>
          <m:rPr>
            <m:sty m:val="p"/>
          </m:rPr>
          <m:t>–</m:t>
        </m:r>
      </m:oMath>
      <w:r>
        <w:rPr>
          <w:b/>
          <w:bCs/>
        </w:rPr>
        <w:t xml:space="preserve">2.47 of EPS</w:t>
      </w:r>
      <w:r>
        <w:t xml:space="preserve"> </w:t>
      </w:r>
      <w:r>
        <w:t xml:space="preserve">and</w:t>
      </w:r>
      <w:r>
        <w:t xml:space="preserve"> </w:t>
      </w:r>
      <m:oMath>
        <m:r>
          <m:t>4.35</m:t>
        </m:r>
        <m:r>
          <m:rPr>
            <m:sty m:val="p"/>
          </m:rPr>
          <m:t>–</m:t>
        </m:r>
      </m:oMath>
      <w:r>
        <w:rPr>
          <w:b/>
          <w:bCs/>
        </w:rPr>
        <w:t xml:space="preserve">4.36 billion of revenue</w:t>
      </w:r>
      <w:r>
        <w:t xml:space="preserve">. That compares with Q2 2025 operating EPS of $2.58 and net premiums earned of $4.34 billion. (</w:t>
      </w:r>
      <w:hyperlink r:id="rId10">
        <w:r>
          <w:rPr>
            <w:rStyle w:val="Hyperlink"/>
          </w:rPr>
          <w:t xml:space="preserve">marketbeat.com</w:t>
        </w:r>
      </w:hyperlink>
      <w:r>
        <w:t xml:space="preserve">)</w:t>
      </w:r>
    </w:p>
    <w:p>
      <w:pPr>
        <w:pStyle w:val="BodyText"/>
      </w:pPr>
      <w:r>
        <w:t xml:space="preserve">The stock closed at approximately</w:t>
      </w:r>
      <w:r>
        <w:t xml:space="preserve"> </w:t>
      </w:r>
      <w:r>
        <w:rPr>
          <w:b/>
          <w:bCs/>
        </w:rPr>
        <w:t xml:space="preserve">$103.88</w:t>
      </w:r>
      <w:r>
        <w:t xml:space="preserve"> </w:t>
      </w:r>
      <w:r>
        <w:t xml:space="preserve">ahead of the report. Based on Q1 book value of $66.19 per share, ACGL trades at roughly</w:t>
      </w:r>
      <w:r>
        <w:t xml:space="preserve"> </w:t>
      </w:r>
      <w:r>
        <w:rPr>
          <w:b/>
          <w:bCs/>
        </w:rPr>
        <w:t xml:space="preserve">1.57 times book value</w:t>
      </w:r>
      <w:r>
        <w:t xml:space="preserve">. The valuation is not demanding if Arch can sustain mid-teens operating ROE, but it leaves investors focused on whether margins are merely normalizing or entering a more meaningful downcycle.</w:t>
      </w:r>
    </w:p>
    <w:bookmarkEnd w:id="11"/>
    <w:bookmarkStart w:id="20" w:name="what-matters-most"/>
    <w:p>
      <w:pPr>
        <w:pStyle w:val="Heading2"/>
      </w:pPr>
      <w:r>
        <w:t xml:space="preserve">What matters most</w:t>
      </w:r>
    </w:p>
    <w:bookmarkStart w:id="14" w:name="X3c49b3c870eacd95cccb62d4b31e3a571b17aed"/>
    <w:p>
      <w:pPr>
        <w:pStyle w:val="Heading3"/>
      </w:pPr>
      <w:r>
        <w:t xml:space="preserve">1. Reinsurance: July renewals are the central issue</w:t>
      </w:r>
    </w:p>
    <w:p>
      <w:pPr>
        <w:pStyle w:val="FirstParagraph"/>
      </w:pPr>
      <w:r>
        <w:t xml:space="preserve">Reinsurance was Arch’s largest underwriting profit contributor in Q1, producing a</w:t>
      </w:r>
      <w:r>
        <w:t xml:space="preserve"> </w:t>
      </w:r>
      <w:r>
        <w:rPr>
          <w:b/>
          <w:bCs/>
        </w:rPr>
        <w:t xml:space="preserve">75.9% reported combined ratio</w:t>
      </w:r>
      <w:r>
        <w:t xml:space="preserve"> </w:t>
      </w:r>
      <w:r>
        <w:t xml:space="preserve">and a</w:t>
      </w:r>
      <w:r>
        <w:t xml:space="preserve"> </w:t>
      </w:r>
      <w:r>
        <w:rPr>
          <w:b/>
          <w:bCs/>
        </w:rPr>
        <w:t xml:space="preserve">78.1% combined ratio excluding catastrophe losses and reserve development</w:t>
      </w:r>
      <w:r>
        <w:t xml:space="preserve">. However, net premiums written declined 6%, primarily because Arch reduced property-catastrophe business that no longer met its return thresholds. (</w:t>
      </w:r>
      <w:hyperlink r:id="rId12">
        <w:r>
          <w:rPr>
            <w:rStyle w:val="Hyperlink"/>
          </w:rPr>
          <w:t xml:space="preserve">ir.archgroup.com</w:t>
        </w:r>
      </w:hyperlink>
      <w:r>
        <w:t xml:space="preserve">)</w:t>
      </w:r>
    </w:p>
    <w:p>
      <w:pPr>
        <w:pStyle w:val="BodyText"/>
      </w:pPr>
      <w:r>
        <w:t xml:space="preserve">Conditions became more competitive at the midyear renewals. Gallagher Re reported that rate reductions accelerated across geographies, with abundant capital also producing more flexible terms and structures. Casualty renewals were more stable, while property showed the strongest buyer-friendly movement. (</w:t>
      </w:r>
      <w:hyperlink r:id="rId13">
        <w:r>
          <w:rPr>
            <w:rStyle w:val="Hyperlink"/>
          </w:rPr>
          <w:t xml:space="preserve">ajg.com</w:t>
        </w:r>
      </w:hyperlink>
      <w:r>
        <w:t xml:space="preserve">)</w:t>
      </w:r>
    </w:p>
    <w:p>
      <w:pPr>
        <w:pStyle w:val="BodyText"/>
      </w:pPr>
      <w:r>
        <w:t xml:space="preserve">The most important disclosures will therefore be:</w:t>
      </w:r>
    </w:p>
    <w:p>
      <w:pPr>
        <w:pStyle w:val="Compact"/>
        <w:numPr>
          <w:ilvl w:val="0"/>
          <w:numId w:val="1001"/>
        </w:numPr>
      </w:pPr>
      <w:r>
        <w:t xml:space="preserve">Reinsurance premium growth or contraction after the June 1 and July 1 renewals.</w:t>
      </w:r>
    </w:p>
    <w:p>
      <w:pPr>
        <w:pStyle w:val="Compact"/>
        <w:numPr>
          <w:ilvl w:val="0"/>
          <w:numId w:val="1001"/>
        </w:numPr>
      </w:pPr>
      <w:r>
        <w:t xml:space="preserve">How much property-cat exposure Arch declined or retained.</w:t>
      </w:r>
    </w:p>
    <w:p>
      <w:pPr>
        <w:pStyle w:val="Compact"/>
        <w:numPr>
          <w:ilvl w:val="0"/>
          <w:numId w:val="1001"/>
        </w:numPr>
      </w:pPr>
      <w:r>
        <w:t xml:space="preserve">Updated peak-zone probable maximum loss, which was $1.9 billion at the end of Q1.</w:t>
      </w:r>
    </w:p>
    <w:p>
      <w:pPr>
        <w:pStyle w:val="Compact"/>
        <w:numPr>
          <w:ilvl w:val="0"/>
          <w:numId w:val="1001"/>
        </w:numPr>
      </w:pPr>
      <w:r>
        <w:t xml:space="preserve">Whether management still sees high-teens risk-adjusted returns in the property-cat business it retained.</w:t>
      </w:r>
    </w:p>
    <w:p>
      <w:pPr>
        <w:pStyle w:val="Compact"/>
        <w:numPr>
          <w:ilvl w:val="0"/>
          <w:numId w:val="1001"/>
        </w:numPr>
      </w:pPr>
      <w:r>
        <w:t xml:space="preserve">Any movement toward less favorable structures, including aggregates, top-and-drop layers and multiyear covers.</w:t>
      </w:r>
    </w:p>
    <w:p>
      <w:pPr>
        <w:pStyle w:val="FirstParagraph"/>
      </w:pPr>
      <w:r>
        <w:t xml:space="preserve">A decline in premiums would not necessarily be bearish. For Arch, shrinking during a softening market can demonstrate discipline. The negative outcome would be</w:t>
      </w:r>
      <w:r>
        <w:t xml:space="preserve"> </w:t>
      </w:r>
      <w:r>
        <w:rPr>
          <w:b/>
          <w:bCs/>
        </w:rPr>
        <w:t xml:space="preserve">lower premium volume combined with visible deterioration in the underlying reinsurance combined ratio</w:t>
      </w:r>
      <w:r>
        <w:t xml:space="preserve">.</w:t>
      </w:r>
    </w:p>
    <w:bookmarkEnd w:id="14"/>
    <w:bookmarkStart w:id="16" w:name="X7501c0f24f011e2b45375dbfcb480a4893e1004"/>
    <w:p>
      <w:pPr>
        <w:pStyle w:val="Heading3"/>
      </w:pPr>
      <w:r>
        <w:t xml:space="preserve">2. Underlying margins versus reserve releases</w:t>
      </w:r>
    </w:p>
    <w:p>
      <w:pPr>
        <w:pStyle w:val="FirstParagraph"/>
      </w:pPr>
      <w:r>
        <w:t xml:space="preserve">Q1’s reported</w:t>
      </w:r>
      <w:r>
        <w:t xml:space="preserve"> </w:t>
      </w:r>
      <w:r>
        <w:rPr>
          <w:b/>
          <w:bCs/>
        </w:rPr>
        <w:t xml:space="preserve">81.7% consolidated combined ratio</w:t>
      </w:r>
      <w:r>
        <w:t xml:space="preserve"> </w:t>
      </w:r>
      <w:r>
        <w:t xml:space="preserve">benefited from $200 million of favorable prior-year development. Part of the reinsurance reserve release came from a large commutation, making the Q1 amount an imperfect run rate. The cleaner underlying combined ratio was 82.3%, 130 basis points worse year over year. (</w:t>
      </w:r>
      <w:hyperlink r:id="rId12">
        <w:r>
          <w:rPr>
            <w:rStyle w:val="Hyperlink"/>
          </w:rPr>
          <w:t xml:space="preserve">ir.archgroup.com</w:t>
        </w:r>
      </w:hyperlink>
      <w:r>
        <w:t xml:space="preserve">)</w:t>
      </w:r>
    </w:p>
    <w:p>
      <w:pPr>
        <w:pStyle w:val="BodyText"/>
      </w:pPr>
      <w:r>
        <w:t xml:space="preserve">Investors should separate three components:</w:t>
      </w:r>
    </w:p>
    <w:p>
      <w:pPr>
        <w:pStyle w:val="Compact"/>
        <w:numPr>
          <w:ilvl w:val="0"/>
          <w:numId w:val="1002"/>
        </w:numPr>
      </w:pPr>
      <w:r>
        <w:t xml:space="preserve">Current accident-year profitability before catastrophes.</w:t>
      </w:r>
    </w:p>
    <w:p>
      <w:pPr>
        <w:pStyle w:val="Compact"/>
        <w:numPr>
          <w:ilvl w:val="0"/>
          <w:numId w:val="1002"/>
        </w:numPr>
      </w:pPr>
      <w:r>
        <w:t xml:space="preserve">Q2 catastrophe and man-made losses.</w:t>
      </w:r>
    </w:p>
    <w:p>
      <w:pPr>
        <w:pStyle w:val="Compact"/>
        <w:numPr>
          <w:ilvl w:val="0"/>
          <w:numId w:val="1002"/>
        </w:numPr>
      </w:pPr>
      <w:r>
        <w:t xml:space="preserve">Favorable or adverse development from older accident years.</w:t>
      </w:r>
    </w:p>
    <w:p>
      <w:pPr>
        <w:pStyle w:val="FirstParagraph"/>
      </w:pPr>
      <w:r>
        <w:t xml:space="preserve">For comparison, the Q2 2025 underlying combined ratio was</w:t>
      </w:r>
      <w:r>
        <w:t xml:space="preserve"> </w:t>
      </w:r>
      <w:r>
        <w:rPr>
          <w:b/>
          <w:bCs/>
        </w:rPr>
        <w:t xml:space="preserve">80.9%</w:t>
      </w:r>
      <w:r>
        <w:t xml:space="preserve">, including</w:t>
      </w:r>
      <w:r>
        <w:t xml:space="preserve"> </w:t>
      </w:r>
      <w:r>
        <w:rPr>
          <w:b/>
          <w:bCs/>
        </w:rPr>
        <w:t xml:space="preserve">90.6% in insurance</w:t>
      </w:r>
      <w:r>
        <w:t xml:space="preserve"> </w:t>
      </w:r>
      <w:r>
        <w:t xml:space="preserve">and</w:t>
      </w:r>
      <w:r>
        <w:t xml:space="preserve"> </w:t>
      </w:r>
      <w:r>
        <w:rPr>
          <w:b/>
          <w:bCs/>
        </w:rPr>
        <w:t xml:space="preserve">77.2% in reinsurance</w:t>
      </w:r>
      <w:r>
        <w:t xml:space="preserve">. (</w:t>
      </w:r>
      <w:hyperlink r:id="rId15">
        <w:r>
          <w:rPr>
            <w:rStyle w:val="Hyperlink"/>
          </w:rPr>
          <w:t xml:space="preserve">ir.archgroup.com</w:t>
        </w:r>
      </w:hyperlink>
      <w:r>
        <w:t xml:space="preserve">)</w:t>
      </w:r>
    </w:p>
    <w:p>
      <w:pPr>
        <w:pStyle w:val="BodyText"/>
      </w:pPr>
      <w:r>
        <w:t xml:space="preserve">A consolidated underlying ratio around the low-80s would still represent excellent profitability. A material move into the mid-80s, particularly if driven by attritional deterioration rather than business mix, would raise more significant cycle concerns.</w:t>
      </w:r>
    </w:p>
    <w:bookmarkEnd w:id="16"/>
    <w:bookmarkStart w:id="17" w:name="Xe565b1bcbc7e6b266788d134ac588e071210f6b"/>
    <w:p>
      <w:pPr>
        <w:pStyle w:val="Heading3"/>
      </w:pPr>
      <w:r>
        <w:t xml:space="preserve">3. Catastrophe and geopolitical losses</w:t>
      </w:r>
    </w:p>
    <w:p>
      <w:pPr>
        <w:pStyle w:val="FirstParagraph"/>
      </w:pPr>
      <w:r>
        <w:t xml:space="preserve">Q1 included $174 million of catastrophe losses, including U.S. winter storms and initial losses associated with the Iran conflict. Management specifically said it expected additional Iran-related losses in Q2, principally in London specialty lines such as political violence, terrorism and war-related coverage.</w:t>
      </w:r>
    </w:p>
    <w:p>
      <w:pPr>
        <w:pStyle w:val="BodyText"/>
      </w:pPr>
      <w:r>
        <w:t xml:space="preserve">The size of that development is one of the quarter’s larger uncertainties. Investors should watch whether Arch:</w:t>
      </w:r>
    </w:p>
    <w:p>
      <w:pPr>
        <w:pStyle w:val="Compact"/>
        <w:numPr>
          <w:ilvl w:val="0"/>
          <w:numId w:val="1003"/>
        </w:numPr>
      </w:pPr>
      <w:r>
        <w:t xml:space="preserve">Contains the losses within its normal quarterly catastrophe allowance.</w:t>
      </w:r>
    </w:p>
    <w:p>
      <w:pPr>
        <w:pStyle w:val="Compact"/>
        <w:numPr>
          <w:ilvl w:val="0"/>
          <w:numId w:val="1003"/>
        </w:numPr>
      </w:pPr>
      <w:r>
        <w:t xml:space="preserve">Raises its estimate of the broader event.</w:t>
      </w:r>
    </w:p>
    <w:p>
      <w:pPr>
        <w:pStyle w:val="Compact"/>
        <w:numPr>
          <w:ilvl w:val="0"/>
          <w:numId w:val="1003"/>
        </w:numPr>
      </w:pPr>
      <w:r>
        <w:t xml:space="preserve">Benefits from the sharp pricing increases subsequently seen in affected specialty classes.</w:t>
      </w:r>
    </w:p>
    <w:p>
      <w:pPr>
        <w:pStyle w:val="Compact"/>
        <w:numPr>
          <w:ilvl w:val="0"/>
          <w:numId w:val="1003"/>
        </w:numPr>
      </w:pPr>
      <w:r>
        <w:t xml:space="preserve">Treats these losses as isolated events or signals a higher prospective man-made catastrophe load.</w:t>
      </w:r>
    </w:p>
    <w:p>
      <w:pPr>
        <w:pStyle w:val="FirstParagraph"/>
      </w:pPr>
      <w:r>
        <w:t xml:space="preserve">A modest headline miss caused by identifiable catastrophe losses would be less concerning than deterioration in the ex-cat accident-year result.</w:t>
      </w:r>
    </w:p>
    <w:bookmarkEnd w:id="17"/>
    <w:bookmarkStart w:id="18" w:name="X191c61666a69bf076f085e05f998d9ef8746227"/>
    <w:p>
      <w:pPr>
        <w:pStyle w:val="Heading3"/>
      </w:pPr>
      <w:r>
        <w:t xml:space="preserve">4. Insurance expenses and the Allianz MidCorp integration</w:t>
      </w:r>
    </w:p>
    <w:p>
      <w:pPr>
        <w:pStyle w:val="FirstParagraph"/>
      </w:pPr>
      <w:r>
        <w:t xml:space="preserve">Insurance’s Q1 underlying combined ratio increased to</w:t>
      </w:r>
      <w:r>
        <w:t xml:space="preserve"> </w:t>
      </w:r>
      <w:r>
        <w:rPr>
          <w:b/>
          <w:bCs/>
        </w:rPr>
        <w:t xml:space="preserve">92.7% from 91.1%</w:t>
      </w:r>
      <w:r>
        <w:t xml:space="preserve">, partly because of higher compensation and transition costs connected with the Allianz MidCorp and Entertainment acquisition. Net premiums written declined 1.4%, although they would have increased approximately 1.1% excluding planned nonrenewals of acquired program business. (</w:t>
      </w:r>
      <w:hyperlink r:id="rId12">
        <w:r>
          <w:rPr>
            <w:rStyle w:val="Hyperlink"/>
          </w:rPr>
          <w:t xml:space="preserve">ir.archgroup.com</w:t>
        </w:r>
      </w:hyperlink>
      <w:r>
        <w:t xml:space="preserve">)</w:t>
      </w:r>
    </w:p>
    <w:p>
      <w:pPr>
        <w:pStyle w:val="BodyText"/>
      </w:pPr>
      <w:r>
        <w:t xml:space="preserve">Management previously indicated that:</w:t>
      </w:r>
    </w:p>
    <w:p>
      <w:pPr>
        <w:pStyle w:val="Compact"/>
        <w:numPr>
          <w:ilvl w:val="0"/>
          <w:numId w:val="1004"/>
        </w:numPr>
      </w:pPr>
      <w:r>
        <w:t xml:space="preserve">Approximately $250 million of acquired program premium would be nonrenewed during 2026.</w:t>
      </w:r>
    </w:p>
    <w:p>
      <w:pPr>
        <w:pStyle w:val="Compact"/>
        <w:numPr>
          <w:ilvl w:val="0"/>
          <w:numId w:val="1004"/>
        </w:numPr>
      </w:pPr>
      <w:r>
        <w:t xml:space="preserve">The major technology migration was completed in April.</w:t>
      </w:r>
    </w:p>
    <w:p>
      <w:pPr>
        <w:pStyle w:val="Compact"/>
        <w:numPr>
          <w:ilvl w:val="0"/>
          <w:numId w:val="1004"/>
        </w:numPr>
      </w:pPr>
      <w:r>
        <w:t xml:space="preserve">Insurance operating expenses should move closer to historical levels in the second half.</w:t>
      </w:r>
    </w:p>
    <w:p>
      <w:pPr>
        <w:pStyle w:val="FirstParagraph"/>
      </w:pPr>
      <w:r>
        <w:t xml:space="preserve">Q2 may still carry elevated transition expenses, so the outlook is more important than the absolute quarterly ratio. A constructive report would show stable underlying loss trends and a clear path to expense improvement beginning in Q3.</w:t>
      </w:r>
    </w:p>
    <w:bookmarkEnd w:id="18"/>
    <w:bookmarkStart w:id="19" w:name="Xd43f6d45d8b37d5d44b1f63eead8cdc960c85a4"/>
    <w:p>
      <w:pPr>
        <w:pStyle w:val="Heading3"/>
      </w:pPr>
      <w:r>
        <w:t xml:space="preserve">5. Mortgage remains a valuable earnings stabilizer</w:t>
      </w:r>
    </w:p>
    <w:p>
      <w:pPr>
        <w:pStyle w:val="FirstParagraph"/>
      </w:pPr>
      <w:r>
        <w:t xml:space="preserve">Mortgage insurance continues to generate unusually strong returns, although results are gradually normalizing. The Q1 combined ratio excluding prior-year reserve development rose to</w:t>
      </w:r>
      <w:r>
        <w:t xml:space="preserve"> </w:t>
      </w:r>
      <w:r>
        <w:rPr>
          <w:b/>
          <w:bCs/>
        </w:rPr>
        <w:t xml:space="preserve">42.2% from 37.9%</w:t>
      </w:r>
      <w:r>
        <w:t xml:space="preserve">, reflecting somewhat higher delinquencies, larger average loan balances entering default and increased expenses. (</w:t>
      </w:r>
      <w:hyperlink r:id="rId12">
        <w:r>
          <w:rPr>
            <w:rStyle w:val="Hyperlink"/>
          </w:rPr>
          <w:t xml:space="preserve">ir.archgroup.com</w:t>
        </w:r>
      </w:hyperlink>
      <w:r>
        <w:t xml:space="preserve">)</w:t>
      </w:r>
    </w:p>
    <w:p>
      <w:pPr>
        <w:pStyle w:val="BodyText"/>
      </w:pPr>
      <w:r>
        <w:t xml:space="preserve">Key indicators include:</w:t>
      </w:r>
    </w:p>
    <w:p>
      <w:pPr>
        <w:pStyle w:val="Compact"/>
        <w:numPr>
          <w:ilvl w:val="0"/>
          <w:numId w:val="1005"/>
        </w:numPr>
      </w:pPr>
      <w:r>
        <w:t xml:space="preserve">U.S. mortgage-insurance delinquency rate.</w:t>
      </w:r>
    </w:p>
    <w:p>
      <w:pPr>
        <w:pStyle w:val="Compact"/>
        <w:numPr>
          <w:ilvl w:val="0"/>
          <w:numId w:val="1005"/>
        </w:numPr>
      </w:pPr>
      <w:r>
        <w:t xml:space="preserve">New insurance written and market share.</w:t>
      </w:r>
    </w:p>
    <w:p>
      <w:pPr>
        <w:pStyle w:val="Compact"/>
        <w:numPr>
          <w:ilvl w:val="0"/>
          <w:numId w:val="1005"/>
        </w:numPr>
      </w:pPr>
      <w:r>
        <w:t xml:space="preserve">Cure rates and favorable reserve development.</w:t>
      </w:r>
    </w:p>
    <w:p>
      <w:pPr>
        <w:pStyle w:val="Compact"/>
        <w:numPr>
          <w:ilvl w:val="0"/>
          <w:numId w:val="1005"/>
        </w:numPr>
      </w:pPr>
      <w:r>
        <w:t xml:space="preserve">Loss severity on newer, larger-balance mortgage vintages.</w:t>
      </w:r>
    </w:p>
    <w:p>
      <w:pPr>
        <w:pStyle w:val="Compact"/>
        <w:numPr>
          <w:ilvl w:val="0"/>
          <w:numId w:val="1005"/>
        </w:numPr>
      </w:pPr>
      <w:r>
        <w:t xml:space="preserve">Commentary on housing affordability, employment and mortgage originations.</w:t>
      </w:r>
    </w:p>
    <w:p>
      <w:pPr>
        <w:pStyle w:val="FirstParagraph"/>
      </w:pPr>
      <w:r>
        <w:t xml:space="preserve">Mortgage does not need to return to prior peak profitability to support the thesis. It needs to remain a low-loss, capital-generative diversifier while P&amp;C pricing normalizes.</w:t>
      </w:r>
    </w:p>
    <w:bookmarkEnd w:id="19"/>
    <w:bookmarkEnd w:id="20"/>
    <w:bookmarkStart w:id="21" w:name="investments-taxes-and-capital-allocation"/>
    <w:p>
      <w:pPr>
        <w:pStyle w:val="Heading2"/>
      </w:pPr>
      <w:r>
        <w:t xml:space="preserve">Investments, taxes and capital allocation</w:t>
      </w:r>
    </w:p>
    <w:p>
      <w:pPr>
        <w:pStyle w:val="FirstParagraph"/>
      </w:pPr>
      <w:r>
        <w:t xml:space="preserve">Net investment income was $408 million in Q1, supported by a nearly $48 billion portfolio and strong operating cash flow. Investors should expect investment income to remain a meaningful earnings floor, although Q1’s amortized-cost yield had declined to 3.99%.</w:t>
      </w:r>
    </w:p>
    <w:p>
      <w:pPr>
        <w:pStyle w:val="BodyText"/>
      </w:pPr>
      <w:r>
        <w:t xml:space="preserve">The tax rate could create an EPS headwind. Q1’s operating tax rate was</w:t>
      </w:r>
      <w:r>
        <w:t xml:space="preserve"> </w:t>
      </w:r>
      <w:r>
        <w:rPr>
          <w:b/>
          <w:bCs/>
        </w:rPr>
        <w:t xml:space="preserve">14.8%</w:t>
      </w:r>
      <w:r>
        <w:t xml:space="preserve">, below management’s prior 16%–18% range because of discrete benefits. A return toward the guided range would reduce sequential earnings even with stable underwriting.</w:t>
      </w:r>
    </w:p>
    <w:p>
      <w:pPr>
        <w:pStyle w:val="BodyText"/>
      </w:pPr>
      <w:r>
        <w:t xml:space="preserve">Capital allocation is likely to be the principal offset. Arch repurchased</w:t>
      </w:r>
      <w:r>
        <w:t xml:space="preserve"> </w:t>
      </w:r>
      <w:r>
        <w:rPr>
          <w:b/>
          <w:bCs/>
        </w:rPr>
        <w:t xml:space="preserve">$783 million</w:t>
      </w:r>
      <w:r>
        <w:t xml:space="preserve"> </w:t>
      </w:r>
      <w:r>
        <w:t xml:space="preserve">of stock in Q1 and another $311 million through April 28, while the board increased its authorization by $3 billion. The diluted share count was already more than 5% below the prior-year level. (</w:t>
      </w:r>
      <w:hyperlink r:id="rId12">
        <w:r>
          <w:rPr>
            <w:rStyle w:val="Hyperlink"/>
          </w:rPr>
          <w:t xml:space="preserve">ir.archgroup.com</w:t>
        </w:r>
      </w:hyperlink>
      <w:r>
        <w:t xml:space="preserve">)</w:t>
      </w:r>
    </w:p>
    <w:p>
      <w:pPr>
        <w:pStyle w:val="BodyText"/>
      </w:pPr>
      <w:r>
        <w:t xml:space="preserve">With fewer attractive organic growth opportunities, investors should expect buybacks to absorb a larger portion of earnings. A substantial Q2 repurchase figure would support book value per share and EPS, but repurchases should not obscure deterioration in underwriting economics.</w:t>
      </w:r>
    </w:p>
    <w:bookmarkEnd w:id="21"/>
    <w:bookmarkStart w:id="23" w:name="management-transition"/>
    <w:p>
      <w:pPr>
        <w:pStyle w:val="Heading2"/>
      </w:pPr>
      <w:r>
        <w:t xml:space="preserve">Management transition</w:t>
      </w:r>
    </w:p>
    <w:p>
      <w:pPr>
        <w:pStyle w:val="FirstParagraph"/>
      </w:pPr>
      <w:r>
        <w:t xml:space="preserve">June brought several leadership changes: Maamoun Rajeh became the sole president overseeing all three operating segments, while Jerome Halgan and Michael Schmeiser were promoted to lead global reinsurance and global mortgage, respectively. (</w:t>
      </w:r>
      <w:hyperlink r:id="rId22">
        <w:r>
          <w:rPr>
            <w:rStyle w:val="Hyperlink"/>
          </w:rPr>
          <w:t xml:space="preserve">ir.archgroup.com</w:t>
        </w:r>
      </w:hyperlink>
      <w:r>
        <w:t xml:space="preserve">)</w:t>
      </w:r>
    </w:p>
    <w:p>
      <w:pPr>
        <w:pStyle w:val="BodyText"/>
      </w:pPr>
      <w:r>
        <w:t xml:space="preserve">These appear to be internal succession moves rather than a strategic break, but investors should listen for any change in segment accountability, capital deployment or risk appetite—particularly as the reinsurance market softens.</w:t>
      </w:r>
    </w:p>
    <w:bookmarkEnd w:id="23"/>
    <w:bookmarkStart w:id="24" w:name="scorecard-for-the-report"/>
    <w:p>
      <w:pPr>
        <w:pStyle w:val="Heading2"/>
      </w:pPr>
      <w:r>
        <w:t xml:space="preserve">Scorecard for the report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or disclosure</w:t>
            </w:r>
          </w:p>
        </w:tc>
        <w:tc>
          <w:tcPr/>
          <w:p>
            <w:pPr>
              <w:pStyle w:val="Compact"/>
            </w:pPr>
            <w:r>
              <w:t xml:space="preserve">Constructive</w:t>
            </w:r>
          </w:p>
        </w:tc>
        <w:tc>
          <w:tcPr/>
          <w:p>
            <w:pPr>
              <w:pStyle w:val="Compact"/>
            </w:pPr>
            <w:r>
              <w:t xml:space="preserve">Concerning</w:t>
            </w:r>
          </w:p>
        </w:tc>
      </w:tr>
      <w:tr>
        <w:tc>
          <w:tcPr/>
          <w:p>
            <w:pPr>
              <w:pStyle w:val="Compact"/>
            </w:pPr>
            <w:r>
              <w:t xml:space="preserve">Operating EPS</w:t>
            </w:r>
          </w:p>
        </w:tc>
        <w:tc>
          <w:tcPr/>
          <w:p>
            <w:pPr>
              <w:pStyle w:val="Compact"/>
            </w:pPr>
            <w:r>
              <w:t xml:space="preserve">At or above roughly $2.45</w:t>
            </w:r>
          </w:p>
        </w:tc>
        <w:tc>
          <w:tcPr/>
          <w:p>
            <w:pPr>
              <w:pStyle w:val="Compact"/>
            </w:pPr>
            <w:r>
              <w:t xml:space="preserve">Meaningful miss not explained by discrete catastrophes</w:t>
            </w:r>
          </w:p>
        </w:tc>
      </w:tr>
      <w:tr>
        <w:tc>
          <w:tcPr/>
          <w:p>
            <w:pPr>
              <w:pStyle w:val="Compact"/>
            </w:pPr>
            <w:r>
              <w:t xml:space="preserve">Underlying combined ratio</w:t>
            </w:r>
          </w:p>
        </w:tc>
        <w:tc>
          <w:tcPr/>
          <w:p>
            <w:pPr>
              <w:pStyle w:val="Compact"/>
            </w:pPr>
            <w:r>
              <w:t xml:space="preserve">Low-80s consolidated</w:t>
            </w:r>
          </w:p>
        </w:tc>
        <w:tc>
          <w:tcPr/>
          <w:p>
            <w:pPr>
              <w:pStyle w:val="Compact"/>
            </w:pPr>
            <w:r>
              <w:t xml:space="preserve">Mid-80s or worse with attritional deterioration</w:t>
            </w:r>
          </w:p>
        </w:tc>
      </w:tr>
      <w:tr>
        <w:tc>
          <w:tcPr/>
          <w:p>
            <w:pPr>
              <w:pStyle w:val="Compact"/>
            </w:pPr>
            <w:r>
              <w:t xml:space="preserve">Reinsurance premiums</w:t>
            </w:r>
          </w:p>
        </w:tc>
        <w:tc>
          <w:tcPr/>
          <w:p>
            <w:pPr>
              <w:pStyle w:val="Compact"/>
            </w:pPr>
            <w:r>
              <w:t xml:space="preserve">Disciplined contraction with stable margins</w:t>
            </w:r>
          </w:p>
        </w:tc>
        <w:tc>
          <w:tcPr/>
          <w:p>
            <w:pPr>
              <w:pStyle w:val="Compact"/>
            </w:pPr>
            <w:r>
              <w:t xml:space="preserve">Contraction plus weaker underlying profitability</w:t>
            </w:r>
          </w:p>
        </w:tc>
      </w:tr>
      <w:tr>
        <w:tc>
          <w:tcPr/>
          <w:p>
            <w:pPr>
              <w:pStyle w:val="Compact"/>
            </w:pPr>
            <w:r>
              <w:t xml:space="preserve">Insurance ratio</w:t>
            </w:r>
          </w:p>
        </w:tc>
        <w:tc>
          <w:tcPr/>
          <w:p>
            <w:pPr>
              <w:pStyle w:val="Compact"/>
            </w:pPr>
            <w:r>
              <w:t xml:space="preserve">Stable loss ratio; expenses set to improve in H2</w:t>
            </w:r>
          </w:p>
        </w:tc>
        <w:tc>
          <w:tcPr/>
          <w:p>
            <w:pPr>
              <w:pStyle w:val="Compact"/>
            </w:pPr>
            <w:r>
              <w:t xml:space="preserve">Continued expense inflation without a clear normalization path</w:t>
            </w:r>
          </w:p>
        </w:tc>
      </w:tr>
      <w:tr>
        <w:tc>
          <w:tcPr/>
          <w:p>
            <w:pPr>
              <w:pStyle w:val="Compact"/>
            </w:pPr>
            <w:r>
              <w:t xml:space="preserve">Mortgage</w:t>
            </w:r>
          </w:p>
        </w:tc>
        <w:tc>
          <w:tcPr/>
          <w:p>
            <w:pPr>
              <w:pStyle w:val="Compact"/>
            </w:pPr>
            <w:r>
              <w:t xml:space="preserve">Stable delinquencies and strong cure rates</w:t>
            </w:r>
          </w:p>
        </w:tc>
        <w:tc>
          <w:tcPr/>
          <w:p>
            <w:pPr>
              <w:pStyle w:val="Compact"/>
            </w:pPr>
            <w:r>
              <w:t xml:space="preserve">Rising defaults, severity or reserve caution</w:t>
            </w:r>
          </w:p>
        </w:tc>
      </w:tr>
      <w:tr>
        <w:tc>
          <w:tcPr/>
          <w:p>
            <w:pPr>
              <w:pStyle w:val="Compact"/>
            </w:pPr>
            <w:r>
              <w:t xml:space="preserve">July renewals</w:t>
            </w:r>
          </w:p>
        </w:tc>
        <w:tc>
          <w:tcPr/>
          <w:p>
            <w:pPr>
              <w:pStyle w:val="Compact"/>
            </w:pPr>
            <w:r>
              <w:t xml:space="preserve">Reduced exposure where returns fell below target</w:t>
            </w:r>
          </w:p>
        </w:tc>
        <w:tc>
          <w:tcPr/>
          <w:p>
            <w:pPr>
              <w:pStyle w:val="Compact"/>
            </w:pPr>
            <w:r>
              <w:t xml:space="preserve">Material concessions on price, terms or attachment points</w:t>
            </w:r>
          </w:p>
        </w:tc>
      </w:tr>
      <w:tr>
        <w:tc>
          <w:tcPr/>
          <w:p>
            <w:pPr>
              <w:pStyle w:val="Compact"/>
            </w:pPr>
            <w:r>
              <w:t xml:space="preserve">Capital allocation</w:t>
            </w:r>
          </w:p>
        </w:tc>
        <w:tc>
          <w:tcPr/>
          <w:p>
            <w:pPr>
              <w:pStyle w:val="Compact"/>
            </w:pPr>
            <w:r>
              <w:t xml:space="preserve">Strong buybacks at attractive valuations</w:t>
            </w:r>
          </w:p>
        </w:tc>
        <w:tc>
          <w:tcPr/>
          <w:p>
            <w:pPr>
              <w:pStyle w:val="Compact"/>
            </w:pPr>
            <w:r>
              <w:t xml:space="preserve">Excess capital accumulation or undisciplined M&amp;A</w:t>
            </w:r>
          </w:p>
        </w:tc>
      </w:tr>
      <w:tr>
        <w:tc>
          <w:tcPr/>
          <w:p>
            <w:pPr>
              <w:pStyle w:val="Compact"/>
            </w:pPr>
            <w:r>
              <w:t xml:space="preserve">Book value per share</w:t>
            </w:r>
          </w:p>
        </w:tc>
        <w:tc>
          <w:tcPr/>
          <w:p>
            <w:pPr>
              <w:pStyle w:val="Compact"/>
            </w:pPr>
            <w:r>
              <w:t xml:space="preserve">Continued sequential growth</w:t>
            </w:r>
          </w:p>
        </w:tc>
        <w:tc>
          <w:tcPr/>
          <w:p>
            <w:pPr>
              <w:pStyle w:val="Compact"/>
            </w:pPr>
            <w:r>
              <w:t xml:space="preserve">Weak growth despite strong operating earnings</w:t>
            </w:r>
          </w:p>
        </w:tc>
      </w:tr>
    </w:tbl>
    <w:bookmarkEnd w:id="24"/>
    <w:bookmarkStart w:id="25" w:name="bottom-line"/>
    <w:p>
      <w:pPr>
        <w:pStyle w:val="Heading2"/>
      </w:pPr>
      <w:r>
        <w:t xml:space="preserve">Bottom line</w:t>
      </w:r>
    </w:p>
    <w:p>
      <w:pPr>
        <w:pStyle w:val="FirstParagraph"/>
      </w:pPr>
      <w:r>
        <w:t xml:space="preserve">This quarter is less about whether Arch beats EPS consensus by a few cents and more about</w:t>
      </w:r>
      <w:r>
        <w:t xml:space="preserve"> </w:t>
      </w:r>
      <w:r>
        <w:rPr>
          <w:b/>
          <w:bCs/>
        </w:rPr>
        <w:t xml:space="preserve">how the franchise is navigating the turn in the underwriting cycle</w:t>
      </w:r>
      <w:r>
        <w:t xml:space="preserve">.</w:t>
      </w:r>
    </w:p>
    <w:p>
      <w:pPr>
        <w:pStyle w:val="BodyText"/>
      </w:pPr>
      <w:r>
        <w:t xml:space="preserve">The favorable thesis is that Arch is deliberately sacrificing premium growth, maintaining excellent underlying margins and using excess capital to repurchase stock. The bearish thesis is that pricing is falling faster than Arch can remix the portfolio, causing both reinsurance volume and margins to decline while expenses remain elevated in insurance.</w:t>
      </w:r>
    </w:p>
    <w:p>
      <w:pPr>
        <w:pStyle w:val="BodyText"/>
      </w:pPr>
      <w:r>
        <w:t xml:space="preserve">The clearest positive signal would be an underlying combined ratio near the low-80s, disciplined reductions in property-cat exposure and another quarter of strong book-value-per-share growth. The most important warning sign would be weakening attritional profitability across both insurance and reinsurance—not merely lower premium growth or a discrete catastrophe charge.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r.archgroup.com/news/news-details/2025/Arch-Capital-Group-Ltd--Reports-2025-Second-Quarter-Results/default.aspx?utm_source=openai" TargetMode="External" /><Relationship Type="http://schemas.openxmlformats.org/officeDocument/2006/relationships/hyperlink" Id="rId22" Target="https://ir.archgroup.com/news/news-details/2026/Arch-Capital-Group-Appoints-Halgan-CEO-of-Global-Reinsurance-and-Schmeiser-CEO-of-Global-Mortgage/default.aspx?utm_source=openai" TargetMode="External" /><Relationship Type="http://schemas.openxmlformats.org/officeDocument/2006/relationships/hyperlink" Id="rId12" Target="https://ir.archgroup.com/news/news-details/2026/Arch-Capital-Group-Ltd--Reports-2026-First-Quarter-Results/default.aspx?utm_source=openai" TargetMode="External" /><Relationship Type="http://schemas.openxmlformats.org/officeDocument/2006/relationships/hyperlink" Id="rId13" Target="https://www.ajg.com/gallagherre/news-and-insights/first-view-a-moment-for-creativity/" TargetMode="External" /><Relationship Type="http://schemas.openxmlformats.org/officeDocument/2006/relationships/hyperlink" Id="rId9" Target="https://www.archgroup.com/arch-capital-group-ltd-to-report-2026-second-quarter-results-on-july-28/" TargetMode="External" /><Relationship Type="http://schemas.openxmlformats.org/officeDocument/2006/relationships/hyperlink" Id="rId10" Target="https://www.marketbeat.com/earnings/reports/2026-7-28-arch-capital-group-ltd-stock/" TargetMode="External" /></Relationships>
</file>

<file path=word/_rels/footnotes.xml.rels><?xml version="1.0" encoding="UTF-8"?><Relationships xmlns="http://schemas.openxmlformats.org/package/2006/relationships"><Relationship Type="http://schemas.openxmlformats.org/officeDocument/2006/relationships/hyperlink" Id="rId15" Target="https://ir.archgroup.com/news/news-details/2025/Arch-Capital-Group-Ltd--Reports-2025-Second-Quarter-Results/default.aspx?utm_source=openai" TargetMode="External" /><Relationship Type="http://schemas.openxmlformats.org/officeDocument/2006/relationships/hyperlink" Id="rId22" Target="https://ir.archgroup.com/news/news-details/2026/Arch-Capital-Group-Appoints-Halgan-CEO-of-Global-Reinsurance-and-Schmeiser-CEO-of-Global-Mortgage/default.aspx?utm_source=openai" TargetMode="External" /><Relationship Type="http://schemas.openxmlformats.org/officeDocument/2006/relationships/hyperlink" Id="rId12" Target="https://ir.archgroup.com/news/news-details/2026/Arch-Capital-Group-Ltd--Reports-2026-First-Quarter-Results/default.aspx?utm_source=openai" TargetMode="External" /><Relationship Type="http://schemas.openxmlformats.org/officeDocument/2006/relationships/hyperlink" Id="rId13" Target="https://www.ajg.com/gallagherre/news-and-insights/first-view-a-moment-for-creativity/" TargetMode="External" /><Relationship Type="http://schemas.openxmlformats.org/officeDocument/2006/relationships/hyperlink" Id="rId9" Target="https://www.archgroup.com/arch-capital-group-ltd-to-report-2026-second-quarter-results-on-july-28/" TargetMode="External" /><Relationship Type="http://schemas.openxmlformats.org/officeDocument/2006/relationships/hyperlink" Id="rId10" Target="https://www.marketbeat.com/earnings/reports/2026-7-28-arch-capital-group-ltd-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2026-07-28T01:26:25Z</dcterms:created>
  <dcterms:modified xsi:type="dcterms:W3CDTF">2026-07-28T01:26:25Z</dcterms:modified>
</cp:coreProperties>
</file>

<file path=docProps/custom.xml><?xml version="1.0" encoding="utf-8"?>
<Properties xmlns="http://schemas.openxmlformats.org/officeDocument/2006/custom-properties" xmlns:vt="http://schemas.openxmlformats.org/officeDocument/2006/docPropsVTypes"/>
</file>