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cgl-earnings-predictions--2026-07-28"/>
    <w:p>
      <w:pPr>
        <w:pStyle w:val="Heading1"/>
      </w:pPr>
      <w:r>
        <w:t xml:space="preserve">ACGL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~$2.36 vs. cons $2.46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combined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~87.1% vs. cons 85.8%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investment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~$415M vs. cons $417M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3Q26 operating EPS outlook / Street revision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~$1.70 vs. cons $1.83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consolidated combined-ratio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~84.5% vs. cons 83.5%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Share-repurchase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~$1.4B vs. cons $1.2B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A ~$2.36 versus</w:t>
            </w:r>
            <w:r>
              <w:t xml:space="preserve"> </w:t>
            </w:r>
            <m:oMath>
              <m:r>
                <m:t>2.46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 </m:t>
              </m:r>
              <m:r>
                <m:t>87.1</m:t>
              </m:r>
            </m:oMath>
            <w:r>
              <w:t xml:space="preserve">1.70 versus $1.83 consensus. Buybacks cushion valuation but do not fully offset negative out-period underwriting and margin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2026-07-28T01:26:21Z</dcterms:created>
  <dcterms:modified xsi:type="dcterms:W3CDTF">2026-07-28T01:26:21Z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