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6bf907ab89b4790b0c2d173c524946f4d49f4a"/>
    <w:p>
      <w:pPr>
        <w:pStyle w:val="Heading1"/>
      </w:pPr>
      <w:r>
        <w:t xml:space="preserve">Arch Capital Group (NASDAQ: ACGL) — 2Q26 Earnings Preview</w:t>
      </w:r>
    </w:p>
    <w:p>
      <w:pPr>
        <w:pStyle w:val="BlockText"/>
      </w:pPr>
      <w:r>
        <w:rPr>
          <w:b/>
          <w:bCs/>
        </w:rPr>
        <w:t xml:space="preserve">Timing correction:</w:t>
      </w:r>
      <w:r>
        <w:t xml:space="preserve"> </w:t>
      </w:r>
      <w:r>
        <w:t xml:space="preserve">ACGL is scheduled to release 2Q26 earnings</w:t>
      </w:r>
      <w:r>
        <w:t xml:space="preserve"> </w:t>
      </w:r>
      <w:r>
        <w:rPr>
          <w:b/>
          <w:bCs/>
        </w:rPr>
        <w:t xml:space="preserve">after the market closes today, Tuesday, July 28, 2026</w:t>
      </w:r>
      <w:r>
        <w:t xml:space="preserve">, with its earnings call at</w:t>
      </w:r>
      <w:r>
        <w:t xml:space="preserve"> </w:t>
      </w:r>
      <w:r>
        <w:rPr>
          <w:b/>
          <w:bCs/>
        </w:rPr>
        <w:t xml:space="preserve">10:00 a.m. ET on Wednesday, July 29</w:t>
      </w:r>
      <w:r>
        <w:t xml:space="preserve">—not tomorrow. (</w:t>
      </w:r>
      <w:hyperlink r:id="rId9">
        <w:r>
          <w:rPr>
            <w:rStyle w:val="Hyperlink"/>
          </w:rPr>
          <w:t xml:space="preserve">ir.archgroup.com</w:t>
        </w:r>
      </w:hyperlink>
      <w:r>
        <w:t xml:space="preserve">)</w:t>
      </w:r>
    </w:p>
    <w:bookmarkStart w:id="11" w:name="executive-view"/>
    <w:p>
      <w:pPr>
        <w:pStyle w:val="Heading2"/>
      </w:pPr>
      <w:r>
        <w:t xml:space="preserve">Executive view</w:t>
      </w:r>
    </w:p>
    <w:p>
      <w:pPr>
        <w:pStyle w:val="FirstParagraph"/>
      </w:pPr>
      <w:r>
        <w:t xml:space="preserve">ACGL enters the quarter with a high-quality but increasingly</w:t>
      </w:r>
      <w:r>
        <w:t xml:space="preserve"> </w:t>
      </w:r>
      <w:r>
        <w:rPr>
          <w:b/>
          <w:bCs/>
        </w:rPr>
        <w:t xml:space="preserve">cycle-management-dependent</w:t>
      </w:r>
      <w:r>
        <w:t xml:space="preserve"> </w:t>
      </w:r>
      <w:r>
        <w:t xml:space="preserve">setup. The company’s first-quarter result demonstrated the earnings power of its diversified insurance, reinsurance, mortgage-insurance, and investment platform: operating EPS was</w:t>
      </w:r>
      <w:r>
        <w:t xml:space="preserve"> </w:t>
      </w:r>
      <m:oMath>
        <m:r>
          <m:t>2.50</m:t>
        </m:r>
        <m:r>
          <m:rPr>
            <m:sty m:val="p"/>
          </m:rPr>
          <m:t>*</m:t>
        </m:r>
        <m:r>
          <m:rPr>
            <m:sty m:val="p"/>
          </m:rPr>
          <m:t>*</m:t>
        </m:r>
        <m:r>
          <m:rPr>
            <m:sty m:val="p"/>
          </m:rPr>
          <m:t>,</m:t>
        </m:r>
        <m:r>
          <m:t>u</m:t>
        </m:r>
        <m:r>
          <m:t>n</m:t>
        </m:r>
        <m:r>
          <m:t>d</m:t>
        </m:r>
        <m:r>
          <m:t>e</m:t>
        </m:r>
        <m:r>
          <m:t>r</m:t>
        </m:r>
        <m:r>
          <m:t>w</m:t>
        </m:r>
        <m:r>
          <m:t>r</m:t>
        </m:r>
        <m:r>
          <m:t>i</m:t>
        </m:r>
        <m:r>
          <m:t>t</m:t>
        </m:r>
        <m:r>
          <m:t>i</m:t>
        </m:r>
        <m:r>
          <m:t>n</m:t>
        </m:r>
        <m:r>
          <m:t>g</m:t>
        </m:r>
        <m:r>
          <m:t>i</m:t>
        </m:r>
        <m:r>
          <m:t>n</m:t>
        </m:r>
        <m:r>
          <m:t>c</m:t>
        </m:r>
        <m:r>
          <m:t>o</m:t>
        </m:r>
        <m:r>
          <m:t>m</m:t>
        </m:r>
        <m:r>
          <m:t>e</m:t>
        </m:r>
        <m:r>
          <m:t>w</m:t>
        </m:r>
        <m:r>
          <m:t>a</m:t>
        </m:r>
        <m:r>
          <m:t>s</m:t>
        </m:r>
        <m:r>
          <m:rPr>
            <m:sty m:val="p"/>
          </m:rPr>
          <m:t>*</m:t>
        </m:r>
        <m:r>
          <m:rPr>
            <m:sty m:val="p"/>
          </m:rPr>
          <m:t>*</m:t>
        </m:r>
      </m:oMath>
      <w:r>
        <w:rPr>
          <w:b/>
          <w:bCs/>
        </w:rPr>
        <w:t xml:space="preserve">728 million</w:t>
      </w:r>
      <w:r>
        <w:t xml:space="preserve">, and annualized operating ROE was</w:t>
      </w:r>
      <w:r>
        <w:t xml:space="preserve"> </w:t>
      </w:r>
      <w:r>
        <w:rPr>
          <w:b/>
          <w:bCs/>
        </w:rPr>
        <w:t xml:space="preserve">15.4%</w:t>
      </w:r>
      <w:r>
        <w:t xml:space="preserve">. But premium growth was already contracting in reinsurance, underlying margins were modestly softer, and management was clear that property-catastrophe and short-tail pricing had become more competitive. (</w:t>
      </w:r>
      <w:hyperlink r:id="rId10">
        <w:r>
          <w:rPr>
            <w:rStyle w:val="Hyperlink"/>
          </w:rPr>
          <w:t xml:space="preserve">ir.archgroup.com</w:t>
        </w:r>
      </w:hyperlink>
      <w:r>
        <w:t xml:space="preserve">)</w:t>
      </w:r>
    </w:p>
    <w:p>
      <w:pPr>
        <w:pStyle w:val="BodyText"/>
      </w:pPr>
      <w:r>
        <w:t xml:space="preserve">For 2Q, the key question is therefore</w:t>
      </w:r>
      <w:r>
        <w:t xml:space="preserve"> </w:t>
      </w:r>
      <w:r>
        <w:rPr>
          <w:b/>
          <w:bCs/>
        </w:rPr>
        <w:t xml:space="preserve">not simply whether ACGL beats EPS</w:t>
      </w:r>
      <w:r>
        <w:t xml:space="preserve">. Investors will be looking for confirmation that Arch can preserve attractive underwriting returns while shrinking or reshaping exposure in business where rate adequacy has deteriorated—and can continue to return excess capital rather than chase volume.</w:t>
      </w:r>
    </w:p>
    <w:p>
      <w:pPr>
        <w:pStyle w:val="BodyText"/>
      </w:pPr>
      <w:r>
        <w:t xml:space="preserve">The stock closed at</w:t>
      </w:r>
      <w:r>
        <w:t xml:space="preserve"> </w:t>
      </w:r>
      <w:r>
        <w:rPr>
          <w:b/>
          <w:bCs/>
        </w:rPr>
        <w:t xml:space="preserve">$103.91 on July 27</w:t>
      </w:r>
      <w:r>
        <w:t xml:space="preserve">, up about</w:t>
      </w:r>
      <w:r>
        <w:t xml:space="preserve"> </w:t>
      </w:r>
      <w:r>
        <w:rPr>
          <w:b/>
          <w:bCs/>
        </w:rPr>
        <w:t xml:space="preserve">7.1%</w:t>
      </w:r>
      <w:r>
        <w:t xml:space="preserve"> </w:t>
      </w:r>
      <w:r>
        <w:t xml:space="preserve">from the April 28 close immediately before 1Q earnings. That recovery raises the bar for a report that needs to validate both reserve quality and the durability of underwriting margins.</w:t>
      </w:r>
    </w:p>
    <w:p>
      <w:r>
        <w:pict>
          <v:rect style="width:0;height:1.5pt" o:hralign="center" o:hrstd="t" o:hr="t"/>
        </w:pict>
      </w:r>
    </w:p>
    <w:bookmarkEnd w:id="11"/>
    <w:bookmarkStart w:id="13" w:name="Xe8a8822608283a841faf69cac86e1193a98b121"/>
    <w:p>
      <w:pPr>
        <w:pStyle w:val="Heading2"/>
      </w:pPr>
      <w:r>
        <w:t xml:space="preserve">The setup: strong earnings base, but a tougher underwriting backdrop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Key metric</w:t>
            </w:r>
          </w:p>
        </w:tc>
        <w:tc>
          <w:tcPr/>
          <w:p>
            <w:pPr>
              <w:pStyle w:val="Compact"/>
              <w:jc w:val="right"/>
            </w:pPr>
            <w:r>
              <w:t xml:space="preserve">1Q26 result</w:t>
            </w:r>
          </w:p>
        </w:tc>
        <w:tc>
          <w:tcPr/>
          <w:p>
            <w:pPr>
              <w:pStyle w:val="Compact"/>
            </w:pPr>
            <w:r>
              <w:t xml:space="preserve">Why it matters into 2Q26</w:t>
            </w:r>
          </w:p>
        </w:tc>
      </w:tr>
      <w:tr>
        <w:tc>
          <w:tcPr/>
          <w:p>
            <w:pPr>
              <w:pStyle w:val="Compact"/>
            </w:pPr>
            <w:r>
              <w:t xml:space="preserve">Operating EPS</w:t>
            </w:r>
          </w:p>
        </w:tc>
        <w:tc>
          <w:tcPr/>
          <w:p>
            <w:pPr>
              <w:pStyle w:val="Compact"/>
              <w:jc w:val="right"/>
            </w:pPr>
            <w:r>
              <w:rPr>
                <w:b/>
                <w:bCs/>
              </w:rPr>
              <w:t xml:space="preserve">$2.50</w:t>
            </w:r>
          </w:p>
        </w:tc>
        <w:tc>
          <w:tcPr/>
          <w:p>
            <w:pPr>
              <w:pStyle w:val="Compact"/>
            </w:pPr>
            <w:r>
              <w:t xml:space="preserve">A strong starting point, though aided by favorable reserve development.</w:t>
            </w:r>
          </w:p>
        </w:tc>
      </w:tr>
      <w:tr>
        <w:tc>
          <w:tcPr/>
          <w:p>
            <w:pPr>
              <w:pStyle w:val="Compact"/>
            </w:pPr>
            <w:r>
              <w:t xml:space="preserve">Operating ROE</w:t>
            </w:r>
          </w:p>
        </w:tc>
        <w:tc>
          <w:tcPr/>
          <w:p>
            <w:pPr>
              <w:pStyle w:val="Compact"/>
              <w:jc w:val="right"/>
            </w:pPr>
            <w:r>
              <w:rPr>
                <w:b/>
                <w:bCs/>
              </w:rPr>
              <w:t xml:space="preserve">15.4%</w:t>
            </w:r>
          </w:p>
        </w:tc>
        <w:tc>
          <w:tcPr/>
          <w:p>
            <w:pPr>
              <w:pStyle w:val="Compact"/>
            </w:pPr>
            <w:r>
              <w:t xml:space="preserve">The central proof point for Arch’s through-cycle capital-allocation model.</w:t>
            </w:r>
          </w:p>
        </w:tc>
      </w:tr>
      <w:tr>
        <w:tc>
          <w:tcPr/>
          <w:p>
            <w:pPr>
              <w:pStyle w:val="Compact"/>
            </w:pPr>
            <w:r>
              <w:t xml:space="preserve">Consolidated combined ratio</w:t>
            </w:r>
          </w:p>
        </w:tc>
        <w:tc>
          <w:tcPr/>
          <w:p>
            <w:pPr>
              <w:pStyle w:val="Compact"/>
              <w:jc w:val="right"/>
            </w:pPr>
            <w:r>
              <w:rPr>
                <w:b/>
                <w:bCs/>
              </w:rPr>
              <w:t xml:space="preserve">81.7%</w:t>
            </w:r>
          </w:p>
        </w:tc>
        <w:tc>
          <w:tcPr/>
          <w:p>
            <w:pPr>
              <w:pStyle w:val="Compact"/>
            </w:pPr>
            <w:r>
              <w:t xml:space="preserve">Excellent headline result.</w:t>
            </w:r>
          </w:p>
        </w:tc>
      </w:tr>
      <w:tr>
        <w:tc>
          <w:tcPr/>
          <w:p>
            <w:pPr>
              <w:pStyle w:val="Compact"/>
            </w:pPr>
            <w:r>
              <w:t xml:space="preserve">Combined ratio ex-cat and prior-year development</w:t>
            </w:r>
          </w:p>
        </w:tc>
        <w:tc>
          <w:tcPr/>
          <w:p>
            <w:pPr>
              <w:pStyle w:val="Compact"/>
              <w:jc w:val="right"/>
            </w:pPr>
            <w:r>
              <w:rPr>
                <w:b/>
                <w:bCs/>
              </w:rPr>
              <w:t xml:space="preserve">82.3%</w:t>
            </w:r>
          </w:p>
        </w:tc>
        <w:tc>
          <w:tcPr/>
          <w:p>
            <w:pPr>
              <w:pStyle w:val="Compact"/>
            </w:pPr>
            <w:r>
              <w:t xml:space="preserve">More useful measure of underlying underwriting profitability; 130 bps weaker year over year.</w:t>
            </w:r>
          </w:p>
        </w:tc>
      </w:tr>
      <w:tr>
        <w:tc>
          <w:tcPr/>
          <w:p>
            <w:pPr>
              <w:pStyle w:val="Compact"/>
            </w:pPr>
            <w:r>
              <w:t xml:space="preserve">Favorable prior-year development</w:t>
            </w:r>
          </w:p>
        </w:tc>
        <w:tc>
          <w:tcPr/>
          <w:p>
            <w:pPr>
              <w:pStyle w:val="Compact"/>
              <w:jc w:val="right"/>
            </w:pPr>
            <w:r>
              <w:rPr>
                <w:b/>
                <w:bCs/>
              </w:rPr>
              <w:t xml:space="preserve">$200M</w:t>
            </w:r>
          </w:p>
        </w:tc>
        <w:tc>
          <w:tcPr/>
          <w:p>
            <w:pPr>
              <w:pStyle w:val="Compact"/>
            </w:pPr>
            <w:r>
              <w:t xml:space="preserve">Important contributor to earnings; sustainability matters.</w:t>
            </w:r>
          </w:p>
        </w:tc>
      </w:tr>
      <w:tr>
        <w:tc>
          <w:tcPr/>
          <w:p>
            <w:pPr>
              <w:pStyle w:val="Compact"/>
            </w:pPr>
            <w:r>
              <w:t xml:space="preserve">Current-year catastrophe losses</w:t>
            </w:r>
          </w:p>
        </w:tc>
        <w:tc>
          <w:tcPr/>
          <w:p>
            <w:pPr>
              <w:pStyle w:val="Compact"/>
              <w:jc w:val="right"/>
            </w:pPr>
            <w:r>
              <w:rPr>
                <w:b/>
                <w:bCs/>
              </w:rPr>
              <w:t xml:space="preserve">$174M</w:t>
            </w:r>
          </w:p>
        </w:tc>
        <w:tc>
          <w:tcPr/>
          <w:p>
            <w:pPr>
              <w:pStyle w:val="Compact"/>
            </w:pPr>
            <w:r>
              <w:t xml:space="preserve">A manageable 1Q loss load, but catastrophe exposure remains the biggest quarterly swing factor.</w:t>
            </w:r>
          </w:p>
        </w:tc>
      </w:tr>
      <w:tr>
        <w:tc>
          <w:tcPr/>
          <w:p>
            <w:pPr>
              <w:pStyle w:val="Compact"/>
            </w:pPr>
            <w:r>
              <w:t xml:space="preserve">Net investment income</w:t>
            </w:r>
          </w:p>
        </w:tc>
        <w:tc>
          <w:tcPr/>
          <w:p>
            <w:pPr>
              <w:pStyle w:val="Compact"/>
              <w:jc w:val="right"/>
            </w:pPr>
            <w:r>
              <w:rPr>
                <w:b/>
                <w:bCs/>
              </w:rPr>
              <w:t xml:space="preserve">$408M</w:t>
            </w:r>
          </w:p>
        </w:tc>
        <w:tc>
          <w:tcPr/>
          <w:p>
            <w:pPr>
              <w:pStyle w:val="Compact"/>
            </w:pPr>
            <w:r>
              <w:t xml:space="preserve">Large recurring earnings contributor, though down sequentially from 4Q25.</w:t>
            </w:r>
          </w:p>
        </w:tc>
      </w:tr>
      <w:tr>
        <w:tc>
          <w:tcPr/>
          <w:p>
            <w:pPr>
              <w:pStyle w:val="Compact"/>
            </w:pPr>
            <w:r>
              <w:t xml:space="preserve">Share repurchases</w:t>
            </w:r>
          </w:p>
        </w:tc>
        <w:tc>
          <w:tcPr/>
          <w:p>
            <w:pPr>
              <w:pStyle w:val="Compact"/>
              <w:jc w:val="right"/>
            </w:pPr>
            <w:r>
              <w:rPr>
                <w:b/>
                <w:bCs/>
              </w:rPr>
              <w:t xml:space="preserve">$783M in 1Q</w:t>
            </w:r>
          </w:p>
        </w:tc>
        <w:tc>
          <w:tcPr/>
          <w:p>
            <w:pPr>
              <w:pStyle w:val="Compact"/>
            </w:pPr>
            <w:r>
              <w:t xml:space="preserve">A major support to per-share value and ROE in a lower-growth market.</w:t>
            </w:r>
          </w:p>
        </w:tc>
      </w:tr>
    </w:tbl>
    <w:p>
      <w:pPr>
        <w:pStyle w:val="BodyText"/>
      </w:pPr>
      <w:r>
        <w:rPr>
          <w:i/>
          <w:iCs/>
        </w:rPr>
        <w:t xml:space="preserve">Source: Arch’s 1Q26 earnings release.</w:t>
      </w:r>
      <w:r>
        <w:t xml:space="preserve"> </w:t>
      </w:r>
      <w:r>
        <w:t xml:space="preserve">(</w:t>
      </w:r>
      <w:hyperlink r:id="rId10">
        <w:r>
          <w:rPr>
            <w:rStyle w:val="Hyperlink"/>
          </w:rPr>
          <w:t xml:space="preserve">ir.archgroup.com</w:t>
        </w:r>
      </w:hyperlink>
      <w:r>
        <w:t xml:space="preserve">)</w:t>
      </w:r>
    </w:p>
    <w:p>
      <w:pPr>
        <w:pStyle w:val="BodyText"/>
      </w:pPr>
      <w:r>
        <w:t xml:space="preserve">The relevant comparison is a demanding one: in 2Q25, ACGL generated</w:t>
      </w:r>
      <w:r>
        <w:t xml:space="preserve"> </w:t>
      </w:r>
      <w:r>
        <w:rPr>
          <w:b/>
          <w:bCs/>
        </w:rPr>
        <w:t xml:space="preserve">$2.58 of operating EPS</w:t>
      </w:r>
      <w:r>
        <w:t xml:space="preserve">, an</w:t>
      </w:r>
      <w:r>
        <w:t xml:space="preserve"> </w:t>
      </w:r>
      <w:r>
        <w:rPr>
          <w:b/>
          <w:bCs/>
        </w:rPr>
        <w:t xml:space="preserve">80.9% ex-cat/ex-prior-year-development combined ratio</w:t>
      </w:r>
      <w:r>
        <w:t xml:space="preserve">, $154 million of current-year catastrophe losses, and $139 million of favorable prior-year development. (</w:t>
      </w:r>
      <w:hyperlink r:id="rId12">
        <w:r>
          <w:rPr>
            <w:rStyle w:val="Hyperlink"/>
          </w:rPr>
          <w:t xml:space="preserve">ir.archgroup.com</w:t>
        </w:r>
      </w:hyperlink>
      <w:r>
        <w:t xml:space="preserve">)</w:t>
      </w:r>
    </w:p>
    <w:p>
      <w:r>
        <w:pict>
          <v:rect style="width:0;height:1.5pt" o:hralign="center" o:hrstd="t" o:hr="t"/>
        </w:pict>
      </w:r>
    </w:p>
    <w:bookmarkEnd w:id="13"/>
    <w:bookmarkStart w:id="19" w:name="what-matters-most-in-the-2q26-report"/>
    <w:p>
      <w:pPr>
        <w:pStyle w:val="Heading2"/>
      </w:pPr>
      <w:r>
        <w:t xml:space="preserve">What matters most in the 2Q26 report</w:t>
      </w:r>
    </w:p>
    <w:bookmarkStart w:id="14" w:name="X1b63a23f75a3607a341dd992946ab2c55707b86"/>
    <w:p>
      <w:pPr>
        <w:pStyle w:val="Heading3"/>
      </w:pPr>
      <w:r>
        <w:t xml:space="preserve">1. Catastrophe losses and reserve development will drive the headline result</w:t>
      </w:r>
    </w:p>
    <w:p>
      <w:pPr>
        <w:pStyle w:val="FirstParagraph"/>
      </w:pPr>
      <w:r>
        <w:t xml:space="preserve">The market should focus on the</w:t>
      </w:r>
      <w:r>
        <w:t xml:space="preserve"> </w:t>
      </w:r>
      <w:r>
        <w:rPr>
          <w:b/>
          <w:bCs/>
        </w:rPr>
        <w:t xml:space="preserve">composition</w:t>
      </w:r>
      <w:r>
        <w:t xml:space="preserve"> </w:t>
      </w:r>
      <w:r>
        <w:t xml:space="preserve">of underwriting earnings—not just the combined ratio.</w:t>
      </w:r>
    </w:p>
    <w:p>
      <w:pPr>
        <w:pStyle w:val="BodyText"/>
      </w:pPr>
      <w:r>
        <w:t xml:space="preserve">In 1Q, ACGL reported $174 million of current-year catastrophe losses and $200 million of favorable prior-year development. That combination helped produce an exceptionally strong 81.7% headline combined ratio. A 2Q print with a higher catastrophe burden or less reserve benefit would not necessarily signal a deterioration in franchise quality, but it would expose the normalized margin investors should use when judging ACGL’s earnings power. (</w:t>
      </w:r>
      <w:hyperlink r:id="rId10">
        <w:r>
          <w:rPr>
            <w:rStyle w:val="Hyperlink"/>
          </w:rPr>
          <w:t xml:space="preserve">ir.archgroup.com</w:t>
        </w:r>
      </w:hyperlink>
      <w:r>
        <w:t xml:space="preserve">)</w:t>
      </w:r>
    </w:p>
    <w:p>
      <w:pPr>
        <w:pStyle w:val="BodyText"/>
      </w:pPr>
      <w:r>
        <w:rPr>
          <w:b/>
          <w:bCs/>
        </w:rPr>
        <w:t xml:space="preserve">Watch items</w:t>
      </w:r>
    </w:p>
    <w:p>
      <w:pPr>
        <w:pStyle w:val="Compact"/>
        <w:numPr>
          <w:ilvl w:val="0"/>
          <w:numId w:val="1001"/>
        </w:numPr>
      </w:pPr>
      <w:r>
        <w:t xml:space="preserve">Consolidated and segment-level catastrophe losses.</w:t>
      </w:r>
    </w:p>
    <w:p>
      <w:pPr>
        <w:pStyle w:val="Compact"/>
        <w:numPr>
          <w:ilvl w:val="0"/>
          <w:numId w:val="1001"/>
        </w:numPr>
      </w:pPr>
      <w:r>
        <w:t xml:space="preserve">Whether prior-year development remains favorable, particularly in short-tail reinsurance and mortgage insurance.</w:t>
      </w:r>
    </w:p>
    <w:p>
      <w:pPr>
        <w:pStyle w:val="Compact"/>
        <w:numPr>
          <w:ilvl w:val="0"/>
          <w:numId w:val="1001"/>
        </w:numPr>
      </w:pPr>
      <w:r>
        <w:t xml:space="preserve">Any adverse development in casualty reserves, where industry reserve adequacy remains a core concern.</w:t>
      </w:r>
    </w:p>
    <w:p>
      <w:pPr>
        <w:pStyle w:val="Compact"/>
        <w:numPr>
          <w:ilvl w:val="0"/>
          <w:numId w:val="1001"/>
        </w:numPr>
      </w:pPr>
      <w:r>
        <w:t xml:space="preserve">The underlying loss ratio</w:t>
      </w:r>
      <w:r>
        <w:t xml:space="preserve"> </w:t>
      </w:r>
      <w:r>
        <w:rPr>
          <w:b/>
          <w:bCs/>
        </w:rPr>
        <w:t xml:space="preserve">excluding cats and prior-year development</w:t>
      </w:r>
      <w:r>
        <w:t xml:space="preserve">.</w:t>
      </w:r>
    </w:p>
    <w:p>
      <w:pPr>
        <w:pStyle w:val="FirstParagraph"/>
      </w:pPr>
      <w:r>
        <w:rPr>
          <w:b/>
          <w:bCs/>
        </w:rPr>
        <w:t xml:space="preserve">Investor interpretation:</w:t>
      </w:r>
      <w:r>
        <w:t xml:space="preserve"> </w:t>
      </w:r>
      <w:r>
        <w:t xml:space="preserve">A respectable quarter with less reserve benefit could still be constructive if underlying ratios remain stable. Conversely, a beat reliant on unusually large favorable development may receive a more muted reaction.</w:t>
      </w:r>
    </w:p>
    <w:p>
      <w:r>
        <w:pict>
          <v:rect style="width:0;height:1.5pt" o:hralign="center" o:hrstd="t" o:hr="t"/>
        </w:pict>
      </w:r>
    </w:p>
    <w:bookmarkEnd w:id="14"/>
    <w:bookmarkStart w:id="15" w:name="Xd188d4ffde3a4b02b8166d18d0ca08e1e8fe338"/>
    <w:p>
      <w:pPr>
        <w:pStyle w:val="Heading3"/>
      </w:pPr>
      <w:r>
        <w:t xml:space="preserve">2. Reinsurance: pricing discipline matters more than premium growth</w:t>
      </w:r>
    </w:p>
    <w:p>
      <w:pPr>
        <w:pStyle w:val="FirstParagraph"/>
      </w:pPr>
      <w:r>
        <w:t xml:space="preserve">Reinsurance remains ACGL’s largest underwriting-profit engine, generating</w:t>
      </w:r>
      <w:r>
        <w:t xml:space="preserve"> </w:t>
      </w:r>
      <w:r>
        <w:rPr>
          <w:b/>
          <w:bCs/>
        </w:rPr>
        <w:t xml:space="preserve">$441 million</w:t>
      </w:r>
      <w:r>
        <w:t xml:space="preserve"> </w:t>
      </w:r>
      <w:r>
        <w:t xml:space="preserve">of 1Q underwriting income and a</w:t>
      </w:r>
      <w:r>
        <w:t xml:space="preserve"> </w:t>
      </w:r>
      <w:r>
        <w:rPr>
          <w:b/>
          <w:bCs/>
        </w:rPr>
        <w:t xml:space="preserve">75.9%</w:t>
      </w:r>
      <w:r>
        <w:t xml:space="preserve"> </w:t>
      </w:r>
      <w:r>
        <w:t xml:space="preserve">combined ratio. However, net written premiums declined</w:t>
      </w:r>
      <w:r>
        <w:t xml:space="preserve"> </w:t>
      </w:r>
      <w:r>
        <w:rPr>
          <w:b/>
          <w:bCs/>
        </w:rPr>
        <w:t xml:space="preserve">6% year over year</w:t>
      </w:r>
      <w:r>
        <w:t xml:space="preserve">, driven principally by reduced property-catastrophe writings and lower reinstatement premiums. The underlying reinsurance combined ratio excluding catastrophes and prior-year development was still an excellent</w:t>
      </w:r>
      <w:r>
        <w:t xml:space="preserve"> </w:t>
      </w:r>
      <w:r>
        <w:rPr>
          <w:b/>
          <w:bCs/>
        </w:rPr>
        <w:t xml:space="preserve">78.1%</w:t>
      </w:r>
      <w:r>
        <w:t xml:space="preserve">. (</w:t>
      </w:r>
      <w:hyperlink r:id="rId10">
        <w:r>
          <w:rPr>
            <w:rStyle w:val="Hyperlink"/>
          </w:rPr>
          <w:t xml:space="preserve">ir.archgroup.com</w:t>
        </w:r>
      </w:hyperlink>
      <w:r>
        <w:t xml:space="preserve">)</w:t>
      </w:r>
    </w:p>
    <w:p>
      <w:pPr>
        <w:pStyle w:val="BodyText"/>
      </w:pPr>
      <w:r>
        <w:t xml:space="preserve">The trade-off is clear: ACGL is likely willing to give up premium when property-catastrophe pricing, attachment points, or terms no longer clear its return hurdles. That is strategically positive, but it makes investors dependent on management proving it can replace shrinking short-tail premium with adequately priced specialty and casualty opportunities—or return surplus capital.</w:t>
      </w:r>
    </w:p>
    <w:p>
      <w:pPr>
        <w:pStyle w:val="BodyText"/>
      </w:pPr>
      <w:r>
        <w:rPr>
          <w:b/>
          <w:bCs/>
        </w:rPr>
        <w:t xml:space="preserve">Key 2Q questions</w:t>
      </w:r>
    </w:p>
    <w:p>
      <w:pPr>
        <w:pStyle w:val="Compact"/>
        <w:numPr>
          <w:ilvl w:val="0"/>
          <w:numId w:val="1002"/>
        </w:numPr>
      </w:pPr>
      <w:r>
        <w:t xml:space="preserve">How much did 6/1 and 7/1 renewals change property-catastrophe premium, rates, retentions, and aggregate exposure?</w:t>
      </w:r>
    </w:p>
    <w:p>
      <w:pPr>
        <w:pStyle w:val="Compact"/>
        <w:numPr>
          <w:ilvl w:val="0"/>
          <w:numId w:val="1002"/>
        </w:numPr>
      </w:pPr>
      <w:r>
        <w:t xml:space="preserve">Did ACGL further reduce catastrophe exposure in less attractive zones?</w:t>
      </w:r>
    </w:p>
    <w:p>
      <w:pPr>
        <w:pStyle w:val="Compact"/>
        <w:numPr>
          <w:ilvl w:val="0"/>
          <w:numId w:val="1002"/>
        </w:numPr>
      </w:pPr>
      <w:r>
        <w:t xml:space="preserve">Is the company finding enough attractive casualty, specialty, and structured-reinsurance business to offset property pressure?</w:t>
      </w:r>
    </w:p>
    <w:p>
      <w:pPr>
        <w:pStyle w:val="Compact"/>
        <w:numPr>
          <w:ilvl w:val="0"/>
          <w:numId w:val="1002"/>
        </w:numPr>
      </w:pPr>
      <w:r>
        <w:t xml:space="preserve">Are ceding commissions or contract terms worsening in casualty quota-share business?</w:t>
      </w:r>
    </w:p>
    <w:p>
      <w:pPr>
        <w:pStyle w:val="FirstParagraph"/>
      </w:pPr>
      <w:r>
        <w:rPr>
          <w:b/>
          <w:bCs/>
        </w:rPr>
        <w:t xml:space="preserve">Constructive outcome:</w:t>
      </w:r>
      <w:r>
        <w:t xml:space="preserve"> </w:t>
      </w:r>
      <w:r>
        <w:t xml:space="preserve">Lower premium volume accompanied by stable underlying margins, controlled peak-zone exposure, and explicit willingness to walk away from underpriced business.</w:t>
      </w:r>
    </w:p>
    <w:p>
      <w:pPr>
        <w:pStyle w:val="BodyText"/>
      </w:pPr>
      <w:r>
        <w:rPr>
          <w:b/>
          <w:bCs/>
        </w:rPr>
        <w:t xml:space="preserve">Negative outcome:</w:t>
      </w:r>
      <w:r>
        <w:t xml:space="preserve"> </w:t>
      </w:r>
      <w:r>
        <w:t xml:space="preserve">Premium contraction plus weakening underlying combined ratio, implying that competition is eroding returns faster than Arch can reposition the book.</w:t>
      </w:r>
    </w:p>
    <w:p>
      <w:r>
        <w:pict>
          <v:rect style="width:0;height:1.5pt" o:hralign="center" o:hrstd="t" o:hr="t"/>
        </w:pict>
      </w:r>
    </w:p>
    <w:bookmarkEnd w:id="15"/>
    <w:bookmarkStart w:id="16" w:name="X97b66e7fcb2ee256782e2640c95a9ba3e6b5323"/>
    <w:p>
      <w:pPr>
        <w:pStyle w:val="Heading3"/>
      </w:pPr>
      <w:r>
        <w:t xml:space="preserve">3. Insurance: show that margins can hold as property softens</w:t>
      </w:r>
    </w:p>
    <w:p>
      <w:pPr>
        <w:pStyle w:val="FirstParagraph"/>
      </w:pPr>
      <w:r>
        <w:t xml:space="preserve">The insurance segment was the least impressive of the three underwriting businesses in 1Q. It reported a</w:t>
      </w:r>
      <w:r>
        <w:t xml:space="preserve"> </w:t>
      </w:r>
      <w:r>
        <w:rPr>
          <w:b/>
          <w:bCs/>
        </w:rPr>
        <w:t xml:space="preserve">96.5%</w:t>
      </w:r>
      <w:r>
        <w:t xml:space="preserve"> </w:t>
      </w:r>
      <w:r>
        <w:t xml:space="preserve">combined ratio and a</w:t>
      </w:r>
      <w:r>
        <w:t xml:space="preserve"> </w:t>
      </w:r>
      <w:r>
        <w:rPr>
          <w:b/>
          <w:bCs/>
        </w:rPr>
        <w:t xml:space="preserve">92.7%</w:t>
      </w:r>
      <w:r>
        <w:t xml:space="preserve"> </w:t>
      </w:r>
      <w:r>
        <w:t xml:space="preserve">ex-cat/ex-prior-year-development ratio, versus 91.1% a year earlier. The segment faced higher expenses related to the Allianz MidCorp and Entertainment (“MCE”) acquisition transition, while pricing softened in areas such as large-account property, E&amp;S property, and certain London short-tail lines. (</w:t>
      </w:r>
      <w:hyperlink r:id="rId10">
        <w:r>
          <w:rPr>
            <w:rStyle w:val="Hyperlink"/>
          </w:rPr>
          <w:t xml:space="preserve">ir.archgroup.com</w:t>
        </w:r>
      </w:hyperlink>
      <w:r>
        <w:t xml:space="preserve">)</w:t>
      </w:r>
    </w:p>
    <w:p>
      <w:pPr>
        <w:pStyle w:val="BodyText"/>
      </w:pPr>
      <w:r>
        <w:t xml:space="preserve">The near-term issue is whether 2Q demonstrates:</w:t>
      </w:r>
    </w:p>
    <w:p>
      <w:pPr>
        <w:pStyle w:val="Compact"/>
        <w:numPr>
          <w:ilvl w:val="0"/>
          <w:numId w:val="1003"/>
        </w:numPr>
      </w:pPr>
      <w:r>
        <w:t xml:space="preserve">normalization of transitional expenses,</w:t>
      </w:r>
    </w:p>
    <w:p>
      <w:pPr>
        <w:pStyle w:val="Compact"/>
        <w:numPr>
          <w:ilvl w:val="0"/>
          <w:numId w:val="1003"/>
        </w:numPr>
      </w:pPr>
      <w:r>
        <w:t xml:space="preserve">continued discipline in property, and</w:t>
      </w:r>
    </w:p>
    <w:p>
      <w:pPr>
        <w:pStyle w:val="Compact"/>
        <w:numPr>
          <w:ilvl w:val="0"/>
          <w:numId w:val="1003"/>
        </w:numPr>
      </w:pPr>
      <w:r>
        <w:t xml:space="preserve">better profitability from casualty, specialty, London, and middle-market operations.</w:t>
      </w:r>
    </w:p>
    <w:p>
      <w:pPr>
        <w:pStyle w:val="FirstParagraph"/>
      </w:pPr>
      <w:r>
        <w:t xml:space="preserve">Management previously indicated that the acquired-business systems migration had been completed and that operating expenses should move closer to historical levels in the second half. Even so, investors will want evidence that the expense improvement is beginning and that the MCE platform can become a source of scalable, less-cyclical growth rather than a drag on segment margins.</w:t>
      </w:r>
    </w:p>
    <w:p>
      <w:pPr>
        <w:pStyle w:val="BodyText"/>
      </w:pPr>
      <w:r>
        <w:rPr>
          <w:b/>
          <w:bCs/>
        </w:rPr>
        <w:t xml:space="preserve">Watch items</w:t>
      </w:r>
    </w:p>
    <w:p>
      <w:pPr>
        <w:pStyle w:val="Compact"/>
        <w:numPr>
          <w:ilvl w:val="0"/>
          <w:numId w:val="1004"/>
        </w:numPr>
      </w:pPr>
      <w:r>
        <w:t xml:space="preserve">Insurance ex-cat/ex-development combined ratio.</w:t>
      </w:r>
    </w:p>
    <w:p>
      <w:pPr>
        <w:pStyle w:val="Compact"/>
        <w:numPr>
          <w:ilvl w:val="0"/>
          <w:numId w:val="1004"/>
        </w:numPr>
      </w:pPr>
      <w:r>
        <w:t xml:space="preserve">Expense-ratio progression.</w:t>
      </w:r>
    </w:p>
    <w:p>
      <w:pPr>
        <w:pStyle w:val="Compact"/>
        <w:numPr>
          <w:ilvl w:val="0"/>
          <w:numId w:val="1004"/>
        </w:numPr>
      </w:pPr>
      <w:r>
        <w:t xml:space="preserve">Premium changes excluding the planned non-renewal of acquired program business.</w:t>
      </w:r>
    </w:p>
    <w:p>
      <w:pPr>
        <w:pStyle w:val="Compact"/>
        <w:numPr>
          <w:ilvl w:val="0"/>
          <w:numId w:val="1004"/>
        </w:numPr>
      </w:pPr>
      <w:r>
        <w:t xml:space="preserve">Commentary on E&amp;S property, large-account property, London short-tail, casualty, and middle market.</w:t>
      </w:r>
    </w:p>
    <w:p>
      <w:r>
        <w:pict>
          <v:rect style="width:0;height:1.5pt" o:hralign="center" o:hrstd="t" o:hr="t"/>
        </w:pict>
      </w:r>
    </w:p>
    <w:bookmarkEnd w:id="16"/>
    <w:bookmarkStart w:id="17" w:name="X8d7480e104e1ab4314e4c71035d44590fb5ff6f"/>
    <w:p>
      <w:pPr>
        <w:pStyle w:val="Heading3"/>
      </w:pPr>
      <w:r>
        <w:t xml:space="preserve">4. Mortgage insurance remains a valuable diversifier—but reserve releases should not be annualized</w:t>
      </w:r>
    </w:p>
    <w:p>
      <w:pPr>
        <w:pStyle w:val="FirstParagraph"/>
      </w:pPr>
      <w:r>
        <w:t xml:space="preserve">Mortgage generated</w:t>
      </w:r>
      <w:r>
        <w:t xml:space="preserve"> </w:t>
      </w:r>
      <w:r>
        <w:rPr>
          <w:b/>
          <w:bCs/>
        </w:rPr>
        <w:t xml:space="preserve">$221 million</w:t>
      </w:r>
      <w:r>
        <w:t xml:space="preserve"> </w:t>
      </w:r>
      <w:r>
        <w:t xml:space="preserve">of 1Q underwriting income, with a 22.3% combined ratio. However, the headline benefited from substantial favorable development; excluding prior-year development, the combined ratio was</w:t>
      </w:r>
      <w:r>
        <w:t xml:space="preserve"> </w:t>
      </w:r>
      <w:r>
        <w:rPr>
          <w:b/>
          <w:bCs/>
        </w:rPr>
        <w:t xml:space="preserve">42.2%</w:t>
      </w:r>
      <w:r>
        <w:t xml:space="preserve">, up from 37.9% a year earlier. The company cited modestly higher delinquencies year over year, although its U.S. MI delinquency rate declined sequentially to</w:t>
      </w:r>
      <w:r>
        <w:t xml:space="preserve"> </w:t>
      </w:r>
      <w:r>
        <w:rPr>
          <w:b/>
          <w:bCs/>
        </w:rPr>
        <w:t xml:space="preserve">2.06%</w:t>
      </w:r>
      <w:r>
        <w:t xml:space="preserve">. (</w:t>
      </w:r>
      <w:hyperlink r:id="rId10">
        <w:r>
          <w:rPr>
            <w:rStyle w:val="Hyperlink"/>
          </w:rPr>
          <w:t xml:space="preserve">ir.archgroup.com</w:t>
        </w:r>
      </w:hyperlink>
      <w:r>
        <w:t xml:space="preserve">)</w:t>
      </w:r>
    </w:p>
    <w:p>
      <w:pPr>
        <w:pStyle w:val="BodyText"/>
      </w:pPr>
      <w:r>
        <w:t xml:space="preserve">Mortgage insurance is a meaningful source of capital-light, uncorrelated earnings, but the market should distinguish current underwriting quality from reserve releases related to cure activity.</w:t>
      </w:r>
    </w:p>
    <w:p>
      <w:pPr>
        <w:pStyle w:val="BodyText"/>
      </w:pPr>
      <w:r>
        <w:rPr>
          <w:b/>
          <w:bCs/>
        </w:rPr>
        <w:t xml:space="preserve">Watch items</w:t>
      </w:r>
    </w:p>
    <w:p>
      <w:pPr>
        <w:pStyle w:val="Compact"/>
        <w:numPr>
          <w:ilvl w:val="0"/>
          <w:numId w:val="1005"/>
        </w:numPr>
      </w:pPr>
      <w:r>
        <w:t xml:space="preserve">Delinquency and new-default trends.</w:t>
      </w:r>
    </w:p>
    <w:p>
      <w:pPr>
        <w:pStyle w:val="Compact"/>
        <w:numPr>
          <w:ilvl w:val="0"/>
          <w:numId w:val="1005"/>
        </w:numPr>
      </w:pPr>
      <w:r>
        <w:t xml:space="preserve">Cure rates and the magnitude of reserve releases.</w:t>
      </w:r>
    </w:p>
    <w:p>
      <w:pPr>
        <w:pStyle w:val="Compact"/>
        <w:numPr>
          <w:ilvl w:val="0"/>
          <w:numId w:val="1005"/>
        </w:numPr>
      </w:pPr>
      <w:r>
        <w:t xml:space="preserve">New insurance written, including the durability of recent non-GSE activity.</w:t>
      </w:r>
    </w:p>
    <w:p>
      <w:pPr>
        <w:pStyle w:val="Compact"/>
        <w:numPr>
          <w:ilvl w:val="0"/>
          <w:numId w:val="1005"/>
        </w:numPr>
      </w:pPr>
      <w:r>
        <w:t xml:space="preserve">Mortgage-originations commentary, especially given affordability constraints.</w:t>
      </w:r>
    </w:p>
    <w:p>
      <w:r>
        <w:pict>
          <v:rect style="width:0;height:1.5pt" o:hralign="center" o:hrstd="t" o:hr="t"/>
        </w:pict>
      </w:r>
    </w:p>
    <w:bookmarkEnd w:id="17"/>
    <w:bookmarkStart w:id="18" w:name="Xee75c801d6713c7fd6006741fb5dc08bc05bee3"/>
    <w:p>
      <w:pPr>
        <w:pStyle w:val="Heading3"/>
      </w:pPr>
      <w:r>
        <w:t xml:space="preserve">5. Investment income, alternatives, and book value can materially move EPS</w:t>
      </w:r>
    </w:p>
    <w:p>
      <w:pPr>
        <w:pStyle w:val="FirstParagraph"/>
      </w:pPr>
      <w:r>
        <w:t xml:space="preserve">ACGL’s investment portfolio was approximately</w:t>
      </w:r>
      <w:r>
        <w:t xml:space="preserve"> </w:t>
      </w:r>
      <w:r>
        <w:rPr>
          <w:b/>
          <w:bCs/>
        </w:rPr>
        <w:t xml:space="preserve">$46.8 billion</w:t>
      </w:r>
      <w:r>
        <w:t xml:space="preserve"> </w:t>
      </w:r>
      <w:r>
        <w:t xml:space="preserve">at March 31, with $408 million of net investment income in 1Q. Investment income declined from</w:t>
      </w:r>
      <w:r>
        <w:t xml:space="preserve"> </w:t>
      </w:r>
      <m:oMath>
        <m:r>
          <m:t>434</m:t>
        </m:r>
        <m:r>
          <m:t>m</m:t>
        </m:r>
        <m:r>
          <m:t>i</m:t>
        </m:r>
        <m:r>
          <m:t>l</m:t>
        </m:r>
        <m:r>
          <m:t>l</m:t>
        </m:r>
        <m:r>
          <m:t>i</m:t>
        </m:r>
        <m:r>
          <m:t>o</m:t>
        </m:r>
        <m:r>
          <m:t>n</m:t>
        </m:r>
        <m:r>
          <m:t>i</m:t>
        </m:r>
        <m:r>
          <m:t>n</m:t>
        </m:r>
        <m:r>
          <m:t>4</m:t>
        </m:r>
        <m:r>
          <m:t>Q</m:t>
        </m:r>
        <m:r>
          <m:t>25</m:t>
        </m:r>
        <m:r>
          <m:rPr>
            <m:sty m:val="p"/>
          </m:rPr>
          <m:t>,</m:t>
        </m:r>
        <m:r>
          <m:t>p</m:t>
        </m:r>
        <m:r>
          <m:t>a</m:t>
        </m:r>
        <m:r>
          <m:t>r</m:t>
        </m:r>
        <m:r>
          <m:t>t</m:t>
        </m:r>
        <m:r>
          <m:t>l</m:t>
        </m:r>
        <m:r>
          <m:t>y</m:t>
        </m:r>
        <m:r>
          <m:t>d</m:t>
        </m:r>
        <m:r>
          <m:t>u</m:t>
        </m:r>
        <m:r>
          <m:t>e</m:t>
        </m:r>
        <m:r>
          <m:t>t</m:t>
        </m:r>
        <m:r>
          <m:t>o</m:t>
        </m:r>
        <m:r>
          <m:t>l</m:t>
        </m:r>
        <m:r>
          <m:t>o</m:t>
        </m:r>
        <m:r>
          <m:t>w</m:t>
        </m:r>
        <m:r>
          <m:t>e</m:t>
        </m:r>
        <m:r>
          <m:t>r</m:t>
        </m:r>
        <m:r>
          <m:t>c</m:t>
        </m:r>
        <m:r>
          <m:t>a</m:t>
        </m:r>
        <m:r>
          <m:t>s</m:t>
        </m:r>
        <m:r>
          <m:t>h</m:t>
        </m:r>
        <m:r>
          <m:t>y</m:t>
        </m:r>
        <m:r>
          <m:t>i</m:t>
        </m:r>
        <m:r>
          <m:t>e</m:t>
        </m:r>
        <m:r>
          <m:t>l</m:t>
        </m:r>
        <m:r>
          <m:t>d</m:t>
        </m:r>
        <m:r>
          <m:t>s</m:t>
        </m:r>
        <m:r>
          <m:rPr>
            <m:sty m:val="p"/>
          </m:rPr>
          <m:t>,</m:t>
        </m:r>
        <m:r>
          <m:t>l</m:t>
        </m:r>
        <m:r>
          <m:t>o</m:t>
        </m:r>
        <m:r>
          <m:t>w</m:t>
        </m:r>
        <m:r>
          <m:t>e</m:t>
        </m:r>
        <m:r>
          <m:t>r</m:t>
        </m:r>
        <m:r>
          <m:t>t</m:t>
        </m:r>
        <m:r>
          <m:t>a</m:t>
        </m:r>
        <m:r>
          <m:t>x</m:t>
        </m:r>
        <m:r>
          <m:rPr>
            <m:sty m:val="p"/>
          </m:rPr>
          <m:t>−</m:t>
        </m:r>
        <m:r>
          <m:t>c</m:t>
        </m:r>
        <m:r>
          <m:t>r</m:t>
        </m:r>
        <m:r>
          <m:t>e</m:t>
        </m:r>
        <m:r>
          <m:t>d</m:t>
        </m:r>
        <m:r>
          <m:t>i</m:t>
        </m:r>
        <m:r>
          <m:t>t</m:t>
        </m:r>
        <m:r>
          <m:t>b</m:t>
        </m:r>
        <m:r>
          <m:t>e</m:t>
        </m:r>
        <m:r>
          <m:t>n</m:t>
        </m:r>
        <m:r>
          <m:t>e</m:t>
        </m:r>
        <m:r>
          <m:t>f</m:t>
        </m:r>
        <m:r>
          <m:t>i</m:t>
        </m:r>
        <m:r>
          <m:t>t</m:t>
        </m:r>
        <m:r>
          <m:t>s</m:t>
        </m:r>
        <m:r>
          <m:rPr>
            <m:sty m:val="p"/>
          </m:rPr>
          <m:t>,</m:t>
        </m:r>
        <m:r>
          <m:t>a</m:t>
        </m:r>
        <m:r>
          <m:t>n</m:t>
        </m:r>
        <m:r>
          <m:t>d</m:t>
        </m:r>
        <m:r>
          <m:t>s</m:t>
        </m:r>
        <m:r>
          <m:t>e</m:t>
        </m:r>
        <m:r>
          <m:t>a</m:t>
        </m:r>
        <m:r>
          <m:t>s</m:t>
        </m:r>
        <m:r>
          <m:t>o</m:t>
        </m:r>
        <m:r>
          <m:t>n</m:t>
        </m:r>
        <m:r>
          <m:t>a</m:t>
        </m:r>
        <m:r>
          <m:t>l</m:t>
        </m:r>
        <m:r>
          <m:t>c</m:t>
        </m:r>
        <m:r>
          <m:t>o</m:t>
        </m:r>
        <m:r>
          <m:t>m</m:t>
        </m:r>
        <m:r>
          <m:t>p</m:t>
        </m:r>
        <m:r>
          <m:t>e</m:t>
        </m:r>
        <m:r>
          <m:t>n</m:t>
        </m:r>
        <m:r>
          <m:t>s</m:t>
        </m:r>
        <m:r>
          <m:t>a</m:t>
        </m:r>
        <m:r>
          <m:t>t</m:t>
        </m:r>
        <m:r>
          <m:t>i</m:t>
        </m:r>
        <m:r>
          <m:t>o</m:t>
        </m:r>
        <m:r>
          <m:t>n</m:t>
        </m:r>
        <m:r>
          <m:t>e</m:t>
        </m:r>
        <m:r>
          <m:t>f</m:t>
        </m:r>
        <m:r>
          <m:t>f</m:t>
        </m:r>
        <m:r>
          <m:t>e</m:t>
        </m:r>
        <m:r>
          <m:t>c</m:t>
        </m:r>
        <m:r>
          <m:t>t</m:t>
        </m:r>
        <m:r>
          <m:t>s</m:t>
        </m:r>
        <m:r>
          <m:rPr>
            <m:sty m:val="p"/>
          </m:rPr>
          <m:t>.</m:t>
        </m:r>
        <m:r>
          <m:t>T</m:t>
        </m:r>
        <m:r>
          <m:t>h</m:t>
        </m:r>
        <m:r>
          <m:t>e</m:t>
        </m:r>
        <m:r>
          <m:t>c</m:t>
        </m:r>
        <m:r>
          <m:t>o</m:t>
        </m:r>
        <m:r>
          <m:t>m</m:t>
        </m:r>
        <m:r>
          <m:t>p</m:t>
        </m:r>
        <m:r>
          <m:t>a</m:t>
        </m:r>
        <m:r>
          <m:t>n</m:t>
        </m:r>
        <m:r>
          <m:t>y</m:t>
        </m:r>
        <m:r>
          <m:t>a</m:t>
        </m:r>
        <m:r>
          <m:t>l</m:t>
        </m:r>
        <m:r>
          <m:t>s</m:t>
        </m:r>
        <m:r>
          <m:t>o</m:t>
        </m:r>
        <m:r>
          <m:t>r</m:t>
        </m:r>
        <m:r>
          <m:t>e</m:t>
        </m:r>
        <m:r>
          <m:t>c</m:t>
        </m:r>
        <m:r>
          <m:t>o</m:t>
        </m:r>
        <m:r>
          <m:t>g</m:t>
        </m:r>
        <m:r>
          <m:t>n</m:t>
        </m:r>
        <m:r>
          <m:t>i</m:t>
        </m:r>
        <m:r>
          <m:t>z</m:t>
        </m:r>
        <m:r>
          <m:t>e</m:t>
        </m:r>
        <m:r>
          <m:t>d</m:t>
        </m:r>
        <m:r>
          <m:rPr>
            <m:sty m:val="p"/>
          </m:rPr>
          <m:t>*</m:t>
        </m:r>
        <m:r>
          <m:rPr>
            <m:sty m:val="p"/>
          </m:rPr>
          <m:t>*</m:t>
        </m:r>
      </m:oMath>
      <w:r>
        <w:t xml:space="preserve">160 million** of equity-method investment income, which can be volatile and is generally recognized on a reporting lag. (</w:t>
      </w:r>
      <w:hyperlink r:id="rId10">
        <w:r>
          <w:rPr>
            <w:rStyle w:val="Hyperlink"/>
          </w:rPr>
          <w:t xml:space="preserve">ir.archgroup.com</w:t>
        </w:r>
      </w:hyperlink>
      <w:r>
        <w:t xml:space="preserve">)</w:t>
      </w:r>
    </w:p>
    <w:p>
      <w:pPr>
        <w:pStyle w:val="BodyText"/>
      </w:pPr>
      <w:r>
        <w:t xml:space="preserve">This means operating EPS could be influenced by:</w:t>
      </w:r>
    </w:p>
    <w:p>
      <w:pPr>
        <w:pStyle w:val="Compact"/>
        <w:numPr>
          <w:ilvl w:val="0"/>
          <w:numId w:val="1006"/>
        </w:numPr>
      </w:pPr>
      <w:r>
        <w:t xml:space="preserve">recurring fixed-income income,</w:t>
      </w:r>
    </w:p>
    <w:p>
      <w:pPr>
        <w:pStyle w:val="Compact"/>
        <w:numPr>
          <w:ilvl w:val="0"/>
          <w:numId w:val="1006"/>
        </w:numPr>
      </w:pPr>
      <w:r>
        <w:t xml:space="preserve">equity-method alternative-investment results,</w:t>
      </w:r>
    </w:p>
    <w:p>
      <w:pPr>
        <w:pStyle w:val="Compact"/>
        <w:numPr>
          <w:ilvl w:val="0"/>
          <w:numId w:val="1006"/>
        </w:numPr>
      </w:pPr>
      <w:r>
        <w:t xml:space="preserve">FX movements,</w:t>
      </w:r>
    </w:p>
    <w:p>
      <w:pPr>
        <w:pStyle w:val="Compact"/>
        <w:numPr>
          <w:ilvl w:val="0"/>
          <w:numId w:val="1006"/>
        </w:numPr>
      </w:pPr>
      <w:r>
        <w:t xml:space="preserve">realized and unrealized investment marks, and</w:t>
      </w:r>
    </w:p>
    <w:p>
      <w:pPr>
        <w:pStyle w:val="Compact"/>
        <w:numPr>
          <w:ilvl w:val="0"/>
          <w:numId w:val="1006"/>
        </w:numPr>
      </w:pPr>
      <w:r>
        <w:t xml:space="preserve">the effective tax rate.</w:t>
      </w:r>
    </w:p>
    <w:p>
      <w:pPr>
        <w:pStyle w:val="FirstParagraph"/>
      </w:pPr>
      <w:r>
        <w:t xml:space="preserve">The 2Q25 comparison illustrates the point: ACGL’s operating EPS was $2.58, but GAAP EPS was $3.23, aided by realized gains and investment-related items. (</w:t>
      </w:r>
      <w:hyperlink r:id="rId12">
        <w:r>
          <w:rPr>
            <w:rStyle w:val="Hyperlink"/>
          </w:rPr>
          <w:t xml:space="preserve">ir.archgroup.com</w:t>
        </w:r>
      </w:hyperlink>
      <w:r>
        <w:t xml:space="preserve">)</w:t>
      </w:r>
    </w:p>
    <w:p>
      <w:pPr>
        <w:pStyle w:val="BodyText"/>
      </w:pPr>
      <w:r>
        <w:rPr>
          <w:b/>
          <w:bCs/>
        </w:rPr>
        <w:t xml:space="preserve">Investor focus:</w:t>
      </w:r>
      <w:r>
        <w:t xml:space="preserve"> </w:t>
      </w:r>
      <w:r>
        <w:t xml:space="preserve">Prioritize operating EPS, net investment income, underlying underwriting results, and book value per share—not GAAP EPS alone.</w:t>
      </w:r>
    </w:p>
    <w:p>
      <w:r>
        <w:pict>
          <v:rect style="width:0;height:1.5pt" o:hralign="center" o:hrstd="t" o:hr="t"/>
        </w:pict>
      </w:r>
    </w:p>
    <w:bookmarkEnd w:id="18"/>
    <w:bookmarkEnd w:id="19"/>
    <w:bookmarkStart w:id="20" w:name="X52d3c5755485ad7dd355098db2d39e584191a75"/>
    <w:p>
      <w:pPr>
        <w:pStyle w:val="Heading2"/>
      </w:pPr>
      <w:r>
        <w:t xml:space="preserve">Capital return is a central part of the thesis</w:t>
      </w:r>
    </w:p>
    <w:p>
      <w:pPr>
        <w:pStyle w:val="FirstParagraph"/>
      </w:pPr>
      <w:r>
        <w:t xml:space="preserve">ACGL repurchased</w:t>
      </w:r>
      <w:r>
        <w:t xml:space="preserve"> </w:t>
      </w:r>
      <m:oMath>
        <m:r>
          <m:t>783</m:t>
        </m:r>
        <m:r>
          <m:t>m</m:t>
        </m:r>
        <m:r>
          <m:t>i</m:t>
        </m:r>
        <m:r>
          <m:t>l</m:t>
        </m:r>
        <m:r>
          <m:t>l</m:t>
        </m:r>
        <m:r>
          <m:t>i</m:t>
        </m:r>
        <m:r>
          <m:t>o</m:t>
        </m:r>
        <m:r>
          <m:t>n</m:t>
        </m:r>
        <m:r>
          <m:rPr>
            <m:sty m:val="p"/>
          </m:rPr>
          <m:t>*</m:t>
        </m:r>
        <m:r>
          <m:rPr>
            <m:sty m:val="p"/>
          </m:rPr>
          <m:t>*</m:t>
        </m:r>
        <m:r>
          <m:t>o</m:t>
        </m:r>
        <m:r>
          <m:t>f</m:t>
        </m:r>
        <m:r>
          <m:t>s</m:t>
        </m:r>
        <m:r>
          <m:t>t</m:t>
        </m:r>
        <m:r>
          <m:t>o</m:t>
        </m:r>
        <m:r>
          <m:t>c</m:t>
        </m:r>
        <m:r>
          <m:t>k</m:t>
        </m:r>
        <m:r>
          <m:t>i</m:t>
        </m:r>
        <m:r>
          <m:t>n</m:t>
        </m:r>
        <m:r>
          <m:t>1</m:t>
        </m:r>
        <m:r>
          <m:t>Q</m:t>
        </m:r>
        <m:r>
          <m:t>26</m:t>
        </m:r>
        <m:r>
          <m:t>a</m:t>
        </m:r>
        <m:r>
          <m:t>n</m:t>
        </m:r>
        <m:r>
          <m:t>d</m:t>
        </m:r>
        <m:r>
          <m:t>i</m:t>
        </m:r>
        <m:r>
          <m:t>n</m:t>
        </m:r>
        <m:r>
          <m:t>c</m:t>
        </m:r>
        <m:r>
          <m:t>r</m:t>
        </m:r>
        <m:r>
          <m:t>e</m:t>
        </m:r>
        <m:r>
          <m:t>a</m:t>
        </m:r>
        <m:r>
          <m:t>s</m:t>
        </m:r>
        <m:r>
          <m:t>e</m:t>
        </m:r>
        <m:r>
          <m:t>d</m:t>
        </m:r>
        <m:r>
          <m:t>i</m:t>
        </m:r>
        <m:r>
          <m:t>t</m:t>
        </m:r>
        <m:r>
          <m:t>s</m:t>
        </m:r>
        <m:r>
          <m:t>a</m:t>
        </m:r>
        <m:r>
          <m:t>u</m:t>
        </m:r>
        <m:r>
          <m:t>t</m:t>
        </m:r>
        <m:r>
          <m:t>h</m:t>
        </m:r>
        <m:r>
          <m:t>o</m:t>
        </m:r>
        <m:r>
          <m:t>r</m:t>
        </m:r>
        <m:r>
          <m:t>i</m:t>
        </m:r>
        <m:r>
          <m:t>z</m:t>
        </m:r>
        <m:r>
          <m:t>a</m:t>
        </m:r>
        <m:r>
          <m:t>t</m:t>
        </m:r>
        <m:r>
          <m:t>i</m:t>
        </m:r>
        <m:r>
          <m:t>o</m:t>
        </m:r>
        <m:r>
          <m:t>n</m:t>
        </m:r>
        <m:r>
          <m:t>b</m:t>
        </m:r>
        <m:r>
          <m:t>y</m:t>
        </m:r>
        <m:r>
          <m:rPr>
            <m:sty m:val="p"/>
          </m:rPr>
          <m:t>*</m:t>
        </m:r>
        <m:r>
          <m:rPr>
            <m:sty m:val="p"/>
          </m:rPr>
          <m:t>*</m:t>
        </m:r>
      </m:oMath>
      <w:r>
        <w:rPr>
          <w:b/>
          <w:bCs/>
        </w:rPr>
        <w:t xml:space="preserve">3 billion</w:t>
      </w:r>
      <w:r>
        <w:t xml:space="preserve"> </w:t>
      </w:r>
      <w:r>
        <w:t xml:space="preserve">in April. At the end of 1Q, book value per share was</w:t>
      </w:r>
      <w:r>
        <w:t xml:space="preserve"> </w:t>
      </w:r>
      <w:r>
        <w:rPr>
          <w:b/>
          <w:bCs/>
        </w:rPr>
        <w:t xml:space="preserve">$66.19</w:t>
      </w:r>
      <w:r>
        <w:t xml:space="preserve">, up 1.7% sequentially despite the repurchase activity. (</w:t>
      </w:r>
      <w:hyperlink r:id="rId10">
        <w:r>
          <w:rPr>
            <w:rStyle w:val="Hyperlink"/>
          </w:rPr>
          <w:t xml:space="preserve">ir.archgroup.com</w:t>
        </w:r>
      </w:hyperlink>
      <w:r>
        <w:t xml:space="preserve">)</w:t>
      </w:r>
    </w:p>
    <w:p>
      <w:pPr>
        <w:pStyle w:val="BodyText"/>
      </w:pPr>
      <w:r>
        <w:t xml:space="preserve">This matters because a softer underwriting market may limit organic premium growth. If ACGL does not see enough opportunities that meet its return thresholds, sustained repurchases can protect per-share book-value compounding and prevent excess capital from diluting returns.</w:t>
      </w:r>
    </w:p>
    <w:p>
      <w:pPr>
        <w:pStyle w:val="BodyText"/>
      </w:pPr>
      <w:r>
        <w:rPr>
          <w:b/>
          <w:bCs/>
        </w:rPr>
        <w:t xml:space="preserve">What to listen for</w:t>
      </w:r>
    </w:p>
    <w:p>
      <w:pPr>
        <w:pStyle w:val="Compact"/>
        <w:numPr>
          <w:ilvl w:val="0"/>
          <w:numId w:val="1007"/>
        </w:numPr>
      </w:pPr>
      <w:r>
        <w:t xml:space="preserve">Repurchases completed during 2Q and into July.</w:t>
      </w:r>
    </w:p>
    <w:p>
      <w:pPr>
        <w:pStyle w:val="Compact"/>
        <w:numPr>
          <w:ilvl w:val="0"/>
          <w:numId w:val="1007"/>
        </w:numPr>
      </w:pPr>
      <w:r>
        <w:t xml:space="preserve">Remaining authorization.</w:t>
      </w:r>
    </w:p>
    <w:p>
      <w:pPr>
        <w:pStyle w:val="Compact"/>
        <w:numPr>
          <w:ilvl w:val="0"/>
          <w:numId w:val="1007"/>
        </w:numPr>
      </w:pPr>
      <w:r>
        <w:t xml:space="preserve">Management’s willingness to buy back a very large share of earnings if organic growth remains constrained.</w:t>
      </w:r>
    </w:p>
    <w:p>
      <w:pPr>
        <w:pStyle w:val="Compact"/>
        <w:numPr>
          <w:ilvl w:val="0"/>
          <w:numId w:val="1007"/>
        </w:numPr>
      </w:pPr>
      <w:r>
        <w:t xml:space="preserve">Any change in appetite for M&amp;A versus capital return.</w:t>
      </w:r>
    </w:p>
    <w:p>
      <w:pPr>
        <w:pStyle w:val="FirstParagraph"/>
      </w:pPr>
      <w:r>
        <w:t xml:space="preserve">A strong capital-return update could offset investor concerns around slower premium growth.</w:t>
      </w:r>
    </w:p>
    <w:p>
      <w:r>
        <w:pict>
          <v:rect style="width:0;height:1.5pt" o:hralign="center" o:hrstd="t" o:hr="t"/>
        </w:pict>
      </w:r>
    </w:p>
    <w:bookmarkEnd w:id="20"/>
    <w:bookmarkStart w:id="24" w:name="bull-base-and-bear-read-throughs"/>
    <w:p>
      <w:pPr>
        <w:pStyle w:val="Heading2"/>
      </w:pPr>
      <w:r>
        <w:t xml:space="preserve">Bull, base, and bear read-throughs</w:t>
      </w:r>
    </w:p>
    <w:bookmarkStart w:id="21" w:name="bull-case"/>
    <w:p>
      <w:pPr>
        <w:pStyle w:val="Heading3"/>
      </w:pPr>
      <w:r>
        <w:t xml:space="preserve">Bull case</w:t>
      </w:r>
    </w:p>
    <w:p>
      <w:pPr>
        <w:pStyle w:val="Compact"/>
        <w:numPr>
          <w:ilvl w:val="0"/>
          <w:numId w:val="1008"/>
        </w:numPr>
      </w:pPr>
      <w:r>
        <w:t xml:space="preserve">Catastrophe losses are manageable.</w:t>
      </w:r>
    </w:p>
    <w:p>
      <w:pPr>
        <w:pStyle w:val="Compact"/>
        <w:numPr>
          <w:ilvl w:val="0"/>
          <w:numId w:val="1008"/>
        </w:numPr>
      </w:pPr>
      <w:r>
        <w:t xml:space="preserve">Underlying combined ratios remain near 1Q levels despite property-rate pressure.</w:t>
      </w:r>
    </w:p>
    <w:p>
      <w:pPr>
        <w:pStyle w:val="Compact"/>
        <w:numPr>
          <w:ilvl w:val="0"/>
          <w:numId w:val="1008"/>
        </w:numPr>
      </w:pPr>
      <w:r>
        <w:t xml:space="preserve">Reinsurance premium declines reflect conscious portfolio optimization, not lost competitiveness.</w:t>
      </w:r>
    </w:p>
    <w:p>
      <w:pPr>
        <w:pStyle w:val="Compact"/>
        <w:numPr>
          <w:ilvl w:val="0"/>
          <w:numId w:val="1008"/>
        </w:numPr>
      </w:pPr>
      <w:r>
        <w:t xml:space="preserve">Insurance expenses begin to normalize after the MCE systems migration.</w:t>
      </w:r>
    </w:p>
    <w:p>
      <w:pPr>
        <w:pStyle w:val="Compact"/>
        <w:numPr>
          <w:ilvl w:val="0"/>
          <w:numId w:val="1008"/>
        </w:numPr>
      </w:pPr>
      <w:r>
        <w:t xml:space="preserve">Mortgage delinquencies remain controlled and reserve releases continue, though at a more normal rate.</w:t>
      </w:r>
    </w:p>
    <w:p>
      <w:pPr>
        <w:pStyle w:val="Compact"/>
        <w:numPr>
          <w:ilvl w:val="0"/>
          <w:numId w:val="1008"/>
        </w:numPr>
      </w:pPr>
      <w:r>
        <w:t xml:space="preserve">Repurchases stay aggressive.</w:t>
      </w:r>
    </w:p>
    <w:bookmarkEnd w:id="21"/>
    <w:bookmarkStart w:id="22" w:name="base-case"/>
    <w:p>
      <w:pPr>
        <w:pStyle w:val="Heading3"/>
      </w:pPr>
      <w:r>
        <w:t xml:space="preserve">Base case</w:t>
      </w:r>
    </w:p>
    <w:p>
      <w:pPr>
        <w:pStyle w:val="Compact"/>
        <w:numPr>
          <w:ilvl w:val="0"/>
          <w:numId w:val="1009"/>
        </w:numPr>
      </w:pPr>
      <w:r>
        <w:t xml:space="preserve">EPS is lower than the unusually strong 1Q result because reserve development and/or catastrophe losses are less favorable.</w:t>
      </w:r>
    </w:p>
    <w:p>
      <w:pPr>
        <w:pStyle w:val="Compact"/>
        <w:numPr>
          <w:ilvl w:val="0"/>
          <w:numId w:val="1009"/>
        </w:numPr>
      </w:pPr>
      <w:r>
        <w:t xml:space="preserve">Reinsurance premium remains under pressure, but underwriting profitability stays attractive.</w:t>
      </w:r>
    </w:p>
    <w:p>
      <w:pPr>
        <w:pStyle w:val="Compact"/>
        <w:numPr>
          <w:ilvl w:val="0"/>
          <w:numId w:val="1009"/>
        </w:numPr>
      </w:pPr>
      <w:r>
        <w:t xml:space="preserve">Investment income is stable to modestly better sequentially.</w:t>
      </w:r>
    </w:p>
    <w:p>
      <w:pPr>
        <w:pStyle w:val="Compact"/>
        <w:numPr>
          <w:ilvl w:val="0"/>
          <w:numId w:val="1009"/>
        </w:numPr>
      </w:pPr>
      <w:r>
        <w:t xml:space="preserve">Buybacks remain a meaningful offset to muted organic growth.</w:t>
      </w:r>
    </w:p>
    <w:bookmarkEnd w:id="22"/>
    <w:bookmarkStart w:id="23" w:name="bear-case"/>
    <w:p>
      <w:pPr>
        <w:pStyle w:val="Heading3"/>
      </w:pPr>
      <w:r>
        <w:t xml:space="preserve">Bear case</w:t>
      </w:r>
    </w:p>
    <w:p>
      <w:pPr>
        <w:pStyle w:val="Compact"/>
        <w:numPr>
          <w:ilvl w:val="0"/>
          <w:numId w:val="1010"/>
        </w:numPr>
      </w:pPr>
      <w:r>
        <w:t xml:space="preserve">Catastrophe and man-made losses are above expectations.</w:t>
      </w:r>
    </w:p>
    <w:p>
      <w:pPr>
        <w:pStyle w:val="Compact"/>
        <w:numPr>
          <w:ilvl w:val="0"/>
          <w:numId w:val="1010"/>
        </w:numPr>
      </w:pPr>
      <w:r>
        <w:t xml:space="preserve">Reinsurance and insurance margins deteriorate simultaneously as rate cuts, terms pressure, and competition accelerate.</w:t>
      </w:r>
    </w:p>
    <w:p>
      <w:pPr>
        <w:pStyle w:val="Compact"/>
        <w:numPr>
          <w:ilvl w:val="0"/>
          <w:numId w:val="1010"/>
        </w:numPr>
      </w:pPr>
      <w:r>
        <w:t xml:space="preserve">Casualty reserve commentary turns more cautious or development worsens.</w:t>
      </w:r>
    </w:p>
    <w:p>
      <w:pPr>
        <w:pStyle w:val="Compact"/>
        <w:numPr>
          <w:ilvl w:val="0"/>
          <w:numId w:val="1010"/>
        </w:numPr>
      </w:pPr>
      <w:r>
        <w:t xml:space="preserve">Mortgage delinquencies rise or cure-rate-driven reserve releases fade sharply.</w:t>
      </w:r>
    </w:p>
    <w:p>
      <w:pPr>
        <w:pStyle w:val="Compact"/>
        <w:numPr>
          <w:ilvl w:val="0"/>
          <w:numId w:val="1010"/>
        </w:numPr>
      </w:pPr>
      <w:r>
        <w:t xml:space="preserve">Capital returns slow despite limited organic deployment opportunities.</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rPr>
          <w:b/>
          <w:bCs/>
        </w:rPr>
        <w:t xml:space="preserve">This is a quality-of-earnings and capital-allocation report.</w:t>
      </w:r>
      <w:r>
        <w:t xml:space="preserve"> </w:t>
      </w:r>
      <w:r>
        <w:t xml:space="preserve">ACGL has already shown that it can produce mid-teens operating ROEs with a large investment-income contribution, differentiated mortgage-insurance earnings, and disciplined underwriting. The 2Q report needs to demonstrate that those returns remain defensible as property pricing softens and premium volume becomes less of a growth lever.</w:t>
      </w:r>
    </w:p>
    <w:p>
      <w:pPr>
        <w:pStyle w:val="BodyText"/>
      </w:pPr>
      <w:r>
        <w:t xml:space="preserve">The most constructive outcome is not necessarily the largest EPS beat. It is a report showing:</w:t>
      </w:r>
    </w:p>
    <w:p>
      <w:pPr>
        <w:pStyle w:val="Compact"/>
        <w:numPr>
          <w:ilvl w:val="0"/>
          <w:numId w:val="1011"/>
        </w:numPr>
      </w:pPr>
      <w:r>
        <w:rPr>
          <w:b/>
          <w:bCs/>
        </w:rPr>
        <w:t xml:space="preserve">controlled catastrophe exposure;</w:t>
      </w:r>
    </w:p>
    <w:p>
      <w:pPr>
        <w:pStyle w:val="Compact"/>
        <w:numPr>
          <w:ilvl w:val="0"/>
          <w:numId w:val="1011"/>
        </w:numPr>
      </w:pPr>
      <w:r>
        <w:rPr>
          <w:b/>
          <w:bCs/>
        </w:rPr>
        <w:t xml:space="preserve">stable underlying combined ratios;</w:t>
      </w:r>
    </w:p>
    <w:p>
      <w:pPr>
        <w:pStyle w:val="Compact"/>
        <w:numPr>
          <w:ilvl w:val="0"/>
          <w:numId w:val="1011"/>
        </w:numPr>
      </w:pPr>
      <w:r>
        <w:rPr>
          <w:b/>
          <w:bCs/>
        </w:rPr>
        <w:t xml:space="preserve">disciplined contraction in unattractive property-cat business;</w:t>
      </w:r>
    </w:p>
    <w:p>
      <w:pPr>
        <w:pStyle w:val="Compact"/>
        <w:numPr>
          <w:ilvl w:val="0"/>
          <w:numId w:val="1011"/>
        </w:numPr>
      </w:pPr>
      <w:r>
        <w:rPr>
          <w:b/>
          <w:bCs/>
        </w:rPr>
        <w:t xml:space="preserve">continued strength in mortgage credit;</w:t>
      </w:r>
    </w:p>
    <w:p>
      <w:pPr>
        <w:pStyle w:val="Compact"/>
        <w:numPr>
          <w:ilvl w:val="0"/>
          <w:numId w:val="1011"/>
        </w:numPr>
      </w:pPr>
      <w:r>
        <w:rPr>
          <w:b/>
          <w:bCs/>
        </w:rPr>
        <w:t xml:space="preserve">durable investment income; and</w:t>
      </w:r>
    </w:p>
    <w:p>
      <w:pPr>
        <w:pStyle w:val="Compact"/>
        <w:numPr>
          <w:ilvl w:val="0"/>
          <w:numId w:val="1011"/>
        </w:numPr>
      </w:pPr>
      <w:r>
        <w:rPr>
          <w:b/>
          <w:bCs/>
        </w:rPr>
        <w:t xml:space="preserve">aggressive repurchases when underwriting deployment is less attractive.</w:t>
      </w:r>
    </w:p>
    <w:p>
      <w:pPr>
        <w:pStyle w:val="FirstParagraph"/>
      </w:pPr>
      <w:r>
        <w:t xml:space="preserve">If those elements are intact, ACGL’s lower top-line growth should be viewed as evidence of underwriting discipline rather than a weakening franchise.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archgroup.com/events-and-presentations/?utm_source=openai" TargetMode="External" /><Relationship Type="http://schemas.openxmlformats.org/officeDocument/2006/relationships/hyperlink" Id="rId12" Target="https://ir.archgroup.com/news/news-details/2025/Arch-Capital-Group-Ltd--Reports-2025-Second-Quarter-Results/default.aspx" TargetMode="External" /><Relationship Type="http://schemas.openxmlformats.org/officeDocument/2006/relationships/hyperlink" Id="rId10" Target="https://ir.archgroup.com/news/news-details/2026/Arch-Capital-Group-Ltd--Reports-2026-First-Quarter-Results/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archgroup.com/events-and-presentations/?utm_source=openai" TargetMode="External" /><Relationship Type="http://schemas.openxmlformats.org/officeDocument/2006/relationships/hyperlink" Id="rId12" Target="https://ir.archgroup.com/news/news-details/2025/Arch-Capital-Group-Ltd--Reports-2025-Second-Quarter-Results/default.aspx" TargetMode="External" /><Relationship Type="http://schemas.openxmlformats.org/officeDocument/2006/relationships/hyperlink" Id="rId10" Target="https://ir.archgroup.com/news/news-details/2026/Arch-Capital-Group-Ltd--Reports-2026-First-Quarter-Results/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2026-07-28T01:26:21Z</dcterms:created>
  <dcterms:modified xsi:type="dcterms:W3CDTF">2026-07-28T01:26:21Z</dcterms:modified>
</cp:coreProperties>
</file>

<file path=docProps/custom.xml><?xml version="1.0" encoding="utf-8"?>
<Properties xmlns="http://schemas.openxmlformats.org/officeDocument/2006/custom-properties" xmlns:vt="http://schemas.openxmlformats.org/officeDocument/2006/docPropsVTypes"/>
</file>