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Arch Capital Group Ltd. (ACGL) — Q2 2026 Earnings Preview</w:t>
      </w:r>
    </w:p>
    <w:p>
      <w:r>
        <w:rPr>
          <w:rFonts w:ascii="Calibri" w:hAnsi="Calibri"/>
          <w:b/>
          <w:color w:val="525866"/>
          <w:sz w:val="22"/>
        </w:rPr>
        <w:t xml:space="preserve">Earnings Date: </w:t>
      </w:r>
      <w:r>
        <w:rPr>
          <w:rFonts w:ascii="Calibri" w:hAnsi="Calibri"/>
          <w:color w:val="525866"/>
          <w:sz w:val="22"/>
        </w:rPr>
        <w:t>July 28, 2026 (After Market Close) | Conference Call: July 29, 2026 at 10:00 AM ET</w:t>
      </w:r>
      <w:r>
        <w:rPr>
          <w:rFonts w:ascii="Calibri" w:hAnsi="Calibri"/>
          <w:b/>
          <w:color w:val="525866"/>
          <w:sz w:val="22"/>
        </w:rPr>
        <w:t xml:space="preserve">     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manageable bar after post-Q1 estimate resets, but the single biggest swing factor is the magnitude of property cat rate declines at mid-year renewals and their impact on net premiums written.</w:t>
      </w:r>
    </w:p>
    <w:p>
      <w:r>
        <w:rPr>
          <w:rFonts w:ascii="Calibri" w:hAnsi="Calibri"/>
          <w:color w:val="525866"/>
          <w:sz w:val="22"/>
        </w:rPr>
        <w:t xml:space="preserve">Heading into Q2 2026, the consensus bar for ACGL looks achievable: </w:t>
      </w:r>
      <w:r>
        <w:rPr>
          <w:rFonts w:ascii="Calibri" w:hAnsi="Calibri"/>
          <w:b/>
          <w:color w:val="525866"/>
          <w:sz w:val="22"/>
        </w:rPr>
        <w:t>operating EPS of ~$2.47</w:t>
      </w:r>
      <w:r>
        <w:rPr>
          <w:rFonts w:ascii="Calibri" w:hAnsi="Calibri"/>
          <w:color w:val="525866"/>
          <w:sz w:val="22"/>
        </w:rPr>
        <w:t xml:space="preserve"> and </w:t>
      </w:r>
      <w:r>
        <w:rPr>
          <w:rFonts w:ascii="Calibri" w:hAnsi="Calibri"/>
          <w:b/>
          <w:color w:val="525866"/>
          <w:sz w:val="22"/>
        </w:rPr>
        <w:t>net premiums written of ~$4.22B</w:t>
      </w:r>
      <w:r>
        <w:rPr>
          <w:rFonts w:ascii="Calibri" w:hAnsi="Calibri"/>
          <w:color w:val="525866"/>
          <w:sz w:val="22"/>
        </w:rPr>
        <w:t xml:space="preserve"> represent a modest step-down from Q1's $2.50 EPS beat, and management's own commentary at Q1 earnings telegraphed continued competitive headwinds in property cat and flat-to-declining top-line growth in insurance. Management's tone since last earnings has been </w:t>
      </w:r>
      <w:r>
        <w:rPr>
          <w:rFonts w:ascii="Calibri" w:hAnsi="Calibri"/>
          <w:b/>
          <w:color w:val="525866"/>
          <w:sz w:val="22"/>
        </w:rPr>
        <w:t>cautiously disciplined</w:t>
      </w:r>
      <w:r>
        <w:rPr>
          <w:rFonts w:ascii="Calibri" w:hAnsi="Calibri"/>
          <w:color w:val="525866"/>
          <w:sz w:val="22"/>
        </w:rPr>
        <w:t xml:space="preserve"> — the company confirmed at Q1 that mid-year property cat renewals (6/1 and 7/1) would remain competitive, with double-digit rate declines expected, and that the operating expense ratio would remain elevated in Q2 before normalizing in H2; both of these are already embedded in consensus. Estimate revisions have drifted modestly lower since the Q1 print (Q2 EPS consensus slipped from $2.41 to $2.47 on a net basis, with FY 2026 EPS trimmed from $9.35 to $9.28), suggesting the street has already absorbed the top-line headwinds. The stock has recovered sharply from its post-Q1 sell-off (down ~5% on April 29) and is now </w:t>
      </w:r>
      <w:r>
        <w:rPr>
          <w:rFonts w:ascii="Calibri" w:hAnsi="Calibri"/>
          <w:b/>
          <w:color w:val="525866"/>
          <w:sz w:val="22"/>
        </w:rPr>
        <w:t>up ~7% since last earnings</w:t>
      </w:r>
      <w:r>
        <w:rPr>
          <w:rFonts w:ascii="Calibri" w:hAnsi="Calibri"/>
          <w:color w:val="525866"/>
          <w:sz w:val="22"/>
        </w:rPr>
        <w:t xml:space="preserve">, outperforming the insurance ETF (IAK, +12%) and broadly in line with the S&amp;P 500 (+4%), implying the market has partially re-rated the stock on capital return optionality rather than premium growth. The key wildcard is </w:t>
      </w:r>
      <w:r>
        <w:rPr>
          <w:rFonts w:ascii="Calibri" w:hAnsi="Calibri"/>
          <w:b/>
          <w:color w:val="525866"/>
          <w:sz w:val="22"/>
        </w:rPr>
        <w:t>Iran conflict losses</w:t>
      </w:r>
      <w:r>
        <w:rPr>
          <w:rFonts w:ascii="Calibri" w:hAnsi="Calibri"/>
          <w:color w:val="525866"/>
          <w:sz w:val="22"/>
        </w:rPr>
        <w:t xml:space="preserve"> — management guided to additional Q2 losses from political violence and war-on-land lines out of London, and the size of that charge relative to the cat load will be the primary source of EPS surprise in either direction.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EPS (street already pricing in rate headwinds and elevated expenses), but </w:t>
      </w:r>
      <w:r>
        <w:rPr>
          <w:rFonts w:ascii="Calibri" w:hAnsi="Calibri"/>
          <w:b/>
          <w:color w:val="525866"/>
          <w:sz w:val="22"/>
        </w:rPr>
        <w:t>net premiums written is the bigger swing factor</w:t>
      </w:r>
      <w:r>
        <w:rPr>
          <w:rFonts w:ascii="Calibri" w:hAnsi="Calibri"/>
          <w:color w:val="525866"/>
          <w:sz w:val="22"/>
        </w:rPr>
        <w:t xml:space="preserve"> — any upside surprise there would signal better-than-feared mid-year renewal outcomes and likely drive the stock.</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Q2 2025 Actual (Prior Year)</w:t>
            </w:r>
          </w:p>
        </w:tc>
        <w:tc>
          <w:tcPr>
            <w:tcW w:type="dxa" w:w="1234"/>
          </w:tcPr>
          <w:p>
            <w:r>
              <w:rPr>
                <w:rFonts w:ascii="Calibri" w:hAnsi="Calibri"/>
                <w:b/>
                <w:sz w:val="22"/>
              </w:rPr>
              <w:t>Q1 2026 Actual (Last Quarter)</w:t>
            </w:r>
          </w:p>
        </w:tc>
        <w:tc>
          <w:tcPr>
            <w:tcW w:type="dxa" w:w="1234"/>
          </w:tcPr>
          <w:p>
            <w:r>
              <w:rPr>
                <w:rFonts w:ascii="Calibri" w:hAnsi="Calibri"/>
                <w:b/>
                <w:sz w:val="22"/>
              </w:rPr>
              <w:t>Q2 2026 Consensus Estimate</w:t>
            </w:r>
          </w:p>
        </w:tc>
        <w:tc>
          <w:tcPr>
            <w:tcW w:type="dxa" w:w="1234"/>
          </w:tcPr>
          <w:p>
            <w:r>
              <w:rPr>
                <w:rFonts w:ascii="Calibri" w:hAnsi="Calibri"/>
                <w:b/>
                <w:sz w:val="22"/>
              </w:rPr>
              <w:t>YoY Change</w:t>
            </w:r>
          </w:p>
        </w:tc>
        <w:tc>
          <w:tcPr>
            <w:tcW w:type="dxa" w:w="1234"/>
          </w:tcPr>
          <w:p>
            <w:r>
              <w:rPr>
                <w:rFonts w:ascii="Calibri" w:hAnsi="Calibri"/>
                <w:b/>
                <w:sz w:val="22"/>
              </w:rPr>
              <w:t>Guidance / Mgmt Commentary</w:t>
            </w:r>
          </w:p>
        </w:tc>
        <w:tc>
          <w:tcPr>
            <w:tcW w:type="dxa" w:w="1234"/>
          </w:tcPr>
          <w:p>
            <w:r>
              <w:rPr>
                <w:rFonts w:ascii="Calibri" w:hAnsi="Calibri"/>
                <w:b/>
                <w:sz w:val="22"/>
              </w:rPr>
              <w:t>Consensus vs. Guidance</w:t>
            </w:r>
          </w:p>
        </w:tc>
      </w:tr>
      <w:tr>
        <w:tc>
          <w:tcPr>
            <w:tcW w:type="dxa" w:w="1234"/>
          </w:tcPr>
          <w:p>
            <w:r>
              <w:rPr>
                <w:rFonts w:ascii="Calibri" w:hAnsi="Calibri"/>
                <w:sz w:val="22"/>
              </w:rPr>
              <w:t>EPS — Diluted Operating ($)</w:t>
            </w:r>
          </w:p>
        </w:tc>
        <w:tc>
          <w:tcPr>
            <w:tcW w:type="dxa" w:w="1234"/>
          </w:tcPr>
          <w:p>
            <w:r>
              <w:rPr>
                <w:rFonts w:ascii="Calibri" w:hAnsi="Calibri"/>
                <w:sz w:val="22"/>
              </w:rPr>
              <w:t>$2.58</w:t>
            </w:r>
          </w:p>
        </w:tc>
        <w:tc>
          <w:tcPr>
            <w:tcW w:type="dxa" w:w="1234"/>
          </w:tcPr>
          <w:p>
            <w:r>
              <w:rPr>
                <w:rFonts w:ascii="Calibri" w:hAnsi="Calibri"/>
                <w:sz w:val="22"/>
              </w:rPr>
              <w:t>$2.50</w:t>
            </w:r>
          </w:p>
        </w:tc>
        <w:tc>
          <w:tcPr>
            <w:tcW w:type="dxa" w:w="1234"/>
          </w:tcPr>
          <w:p>
            <w:r>
              <w:rPr>
                <w:rFonts w:ascii="Calibri" w:hAnsi="Calibri"/>
                <w:sz w:val="22"/>
              </w:rPr>
              <w:t>$2.47</w:t>
            </w:r>
          </w:p>
        </w:tc>
        <w:tc>
          <w:tcPr>
            <w:tcW w:type="dxa" w:w="1234"/>
          </w:tcPr>
          <w:p>
            <w:r>
              <w:rPr>
                <w:rFonts w:ascii="Calibri" w:hAnsi="Calibri"/>
                <w:sz w:val="22"/>
              </w:rPr>
              <w:t>-4.3% YoY</w:t>
            </w:r>
          </w:p>
        </w:tc>
        <w:tc>
          <w:tcPr>
            <w:tcW w:type="dxa" w:w="1234"/>
          </w:tcPr>
          <w:p>
            <w:r>
              <w:rPr>
                <w:rFonts w:ascii="Calibri" w:hAnsi="Calibri"/>
                <w:sz w:val="22"/>
              </w:rPr>
              <w:t>No explicit Q2 guidance; mgmt flagged elevated OpEx in Q2 before H2 normalization</w:t>
            </w:r>
          </w:p>
        </w:tc>
        <w:tc>
          <w:tcPr>
            <w:tcW w:type="dxa" w:w="1234"/>
          </w:tcPr>
          <w:p>
            <w:r>
              <w:rPr>
                <w:rFonts w:ascii="Calibri" w:hAnsi="Calibri"/>
                <w:sz w:val="22"/>
              </w:rPr>
              <w:t>N/A — no numeric guidance</w:t>
            </w:r>
          </w:p>
        </w:tc>
      </w:tr>
      <w:tr>
        <w:tc>
          <w:tcPr>
            <w:tcW w:type="dxa" w:w="1234"/>
          </w:tcPr>
          <w:p>
            <w:r>
              <w:rPr>
                <w:rFonts w:ascii="Calibri" w:hAnsi="Calibri"/>
                <w:sz w:val="22"/>
              </w:rPr>
              <w:t>Net Premiums Written ($B)</w:t>
            </w:r>
          </w:p>
        </w:tc>
        <w:tc>
          <w:tcPr>
            <w:tcW w:type="dxa" w:w="1234"/>
          </w:tcPr>
          <w:p>
            <w:r>
              <w:rPr>
                <w:rFonts w:ascii="Calibri" w:hAnsi="Calibri"/>
                <w:sz w:val="22"/>
              </w:rPr>
              <w:t>$4.35B</w:t>
            </w:r>
          </w:p>
        </w:tc>
        <w:tc>
          <w:tcPr>
            <w:tcW w:type="dxa" w:w="1234"/>
          </w:tcPr>
          <w:p>
            <w:r>
              <w:rPr>
                <w:rFonts w:ascii="Calibri" w:hAnsi="Calibri"/>
                <w:sz w:val="22"/>
              </w:rPr>
              <w:t>$4.35B</w:t>
            </w:r>
          </w:p>
        </w:tc>
        <w:tc>
          <w:tcPr>
            <w:tcW w:type="dxa" w:w="1234"/>
          </w:tcPr>
          <w:p>
            <w:r>
              <w:rPr>
                <w:rFonts w:ascii="Calibri" w:hAnsi="Calibri"/>
                <w:sz w:val="22"/>
              </w:rPr>
              <w:t>$4.22B</w:t>
            </w:r>
          </w:p>
        </w:tc>
        <w:tc>
          <w:tcPr>
            <w:tcW w:type="dxa" w:w="1234"/>
          </w:tcPr>
          <w:p>
            <w:r>
              <w:rPr>
                <w:rFonts w:ascii="Calibri" w:hAnsi="Calibri"/>
                <w:sz w:val="22"/>
              </w:rPr>
              <w:t>-3.0% YoY</w:t>
            </w:r>
          </w:p>
        </w:tc>
        <w:tc>
          <w:tcPr>
            <w:tcW w:type="dxa" w:w="1234"/>
          </w:tcPr>
          <w:p>
            <w:r>
              <w:rPr>
                <w:rFonts w:ascii="Calibri" w:hAnsi="Calibri"/>
                <w:sz w:val="22"/>
              </w:rPr>
              <w:t>Mgmt guided ~$250M NPW headwind from MCE non-renewals throughout 2026; mid-year cat renewals expected competitive</w:t>
            </w:r>
          </w:p>
        </w:tc>
        <w:tc>
          <w:tcPr>
            <w:tcW w:type="dxa" w:w="1234"/>
          </w:tcPr>
          <w:p>
            <w:r>
              <w:rPr>
                <w:rFonts w:ascii="Calibri" w:hAnsi="Calibri"/>
                <w:sz w:val="22"/>
              </w:rPr>
              <w:t>Consensus below implied run-rate; reflects rate declines + MCE drag</w:t>
            </w:r>
          </w:p>
        </w:tc>
      </w:tr>
      <w:tr>
        <w:tc>
          <w:tcPr>
            <w:tcW w:type="dxa" w:w="1234"/>
          </w:tcPr>
          <w:p>
            <w:r>
              <w:rPr>
                <w:rFonts w:ascii="Calibri" w:hAnsi="Calibri"/>
                <w:sz w:val="22"/>
              </w:rPr>
              <w:t>Combined Ratio — Ex-Cat, Ex-PYD (%)</w:t>
            </w:r>
          </w:p>
        </w:tc>
        <w:tc>
          <w:tcPr>
            <w:tcW w:type="dxa" w:w="1234"/>
          </w:tcPr>
          <w:p>
            <w:r>
              <w:rPr>
                <w:rFonts w:ascii="Calibri" w:hAnsi="Calibri"/>
                <w:sz w:val="22"/>
              </w:rPr>
              <w:t>80.8%</w:t>
            </w:r>
          </w:p>
        </w:tc>
        <w:tc>
          <w:tcPr>
            <w:tcW w:type="dxa" w:w="1234"/>
          </w:tcPr>
          <w:p>
            <w:r>
              <w:rPr>
                <w:rFonts w:ascii="Calibri" w:hAnsi="Calibri"/>
                <w:sz w:val="22"/>
              </w:rPr>
              <w:t>82.4%</w:t>
            </w:r>
          </w:p>
        </w:tc>
        <w:tc>
          <w:tcPr>
            <w:tcW w:type="dxa" w:w="1234"/>
          </w:tcPr>
          <w:p>
            <w:r>
              <w:rPr>
                <w:rFonts w:ascii="Calibri" w:hAnsi="Calibri"/>
                <w:sz w:val="22"/>
              </w:rPr>
              <w:t>82.2%</w:t>
            </w:r>
          </w:p>
        </w:tc>
        <w:tc>
          <w:tcPr>
            <w:tcW w:type="dxa" w:w="1234"/>
          </w:tcPr>
          <w:p>
            <w:r>
              <w:rPr>
                <w:rFonts w:ascii="Calibri" w:hAnsi="Calibri"/>
                <w:sz w:val="22"/>
              </w:rPr>
              <w:t>+140 bps YoY</w:t>
            </w:r>
          </w:p>
        </w:tc>
        <w:tc>
          <w:tcPr>
            <w:tcW w:type="dxa" w:w="1234"/>
          </w:tcPr>
          <w:p>
            <w:r>
              <w:rPr>
                <w:rFonts w:ascii="Calibri" w:hAnsi="Calibri"/>
                <w:sz w:val="22"/>
              </w:rPr>
              <w:t>Mgmt: rates just below trend; margins sustainable near-term; OpEx elevated in Q2</w:t>
            </w:r>
          </w:p>
        </w:tc>
        <w:tc>
          <w:tcPr>
            <w:tcW w:type="dxa" w:w="1234"/>
          </w:tcPr>
          <w:p>
            <w:r>
              <w:rPr>
                <w:rFonts w:ascii="Calibri" w:hAnsi="Calibri"/>
                <w:sz w:val="22"/>
              </w:rPr>
              <w:t>Consensus roughly in line with mgmt tone</w:t>
            </w:r>
          </w:p>
        </w:tc>
      </w:tr>
      <w:tr>
        <w:tc>
          <w:tcPr>
            <w:tcW w:type="dxa" w:w="1234"/>
          </w:tcPr>
          <w:p>
            <w:r>
              <w:rPr>
                <w:rFonts w:ascii="Calibri" w:hAnsi="Calibri"/>
                <w:sz w:val="22"/>
              </w:rPr>
              <w:t>Underwriting Income ($M)</w:t>
            </w:r>
          </w:p>
        </w:tc>
        <w:tc>
          <w:tcPr>
            <w:tcW w:type="dxa" w:w="1234"/>
          </w:tcPr>
          <w:p>
            <w:r>
              <w:rPr>
                <w:rFonts w:ascii="Calibri" w:hAnsi="Calibri"/>
                <w:sz w:val="22"/>
              </w:rPr>
              <w:t>$818M</w:t>
            </w:r>
          </w:p>
        </w:tc>
        <w:tc>
          <w:tcPr>
            <w:tcW w:type="dxa" w:w="1234"/>
          </w:tcPr>
          <w:p>
            <w:r>
              <w:rPr>
                <w:rFonts w:ascii="Calibri" w:hAnsi="Calibri"/>
                <w:sz w:val="22"/>
              </w:rPr>
              <w:t>$728M</w:t>
            </w:r>
          </w:p>
        </w:tc>
        <w:tc>
          <w:tcPr>
            <w:tcW w:type="dxa" w:w="1234"/>
          </w:tcPr>
          <w:p>
            <w:r>
              <w:rPr>
                <w:rFonts w:ascii="Calibri" w:hAnsi="Calibri"/>
                <w:sz w:val="22"/>
              </w:rPr>
              <w:t>$689M</w:t>
            </w:r>
          </w:p>
        </w:tc>
        <w:tc>
          <w:tcPr>
            <w:tcW w:type="dxa" w:w="1234"/>
          </w:tcPr>
          <w:p>
            <w:r>
              <w:rPr>
                <w:rFonts w:ascii="Calibri" w:hAnsi="Calibri"/>
                <w:sz w:val="22"/>
              </w:rPr>
              <w:t>-15.8% YoY</w:t>
            </w:r>
          </w:p>
        </w:tc>
        <w:tc>
          <w:tcPr>
            <w:tcW w:type="dxa" w:w="1234"/>
          </w:tcPr>
          <w:p>
            <w:r>
              <w:rPr>
                <w:rFonts w:ascii="Calibri" w:hAnsi="Calibri"/>
                <w:sz w:val="22"/>
              </w:rPr>
              <w:t>No explicit guidance; Q1 was impacted by MCE transition costs; Q2 still elevated</w:t>
            </w:r>
          </w:p>
        </w:tc>
        <w:tc>
          <w:tcPr>
            <w:tcW w:type="dxa" w:w="1234"/>
          </w:tcPr>
          <w:p>
            <w:r>
              <w:rPr>
                <w:rFonts w:ascii="Calibri" w:hAnsi="Calibri"/>
                <w:sz w:val="22"/>
              </w:rPr>
              <w:t>Consensus below Q2 2025 actual; reflects competitive market</w:t>
            </w:r>
          </w:p>
        </w:tc>
      </w:tr>
      <w:tr>
        <w:tc>
          <w:tcPr>
            <w:tcW w:type="dxa" w:w="1234"/>
          </w:tcPr>
          <w:p>
            <w:r>
              <w:rPr>
                <w:rFonts w:ascii="Calibri" w:hAnsi="Calibri"/>
                <w:sz w:val="22"/>
              </w:rPr>
              <w:t>Net Investment Income ($M)</w:t>
            </w:r>
          </w:p>
        </w:tc>
        <w:tc>
          <w:tcPr>
            <w:tcW w:type="dxa" w:w="1234"/>
          </w:tcPr>
          <w:p>
            <w:r>
              <w:rPr>
                <w:rFonts w:ascii="Calibri" w:hAnsi="Calibri"/>
                <w:sz w:val="22"/>
              </w:rPr>
              <w:t>$405M</w:t>
            </w:r>
          </w:p>
        </w:tc>
        <w:tc>
          <w:tcPr>
            <w:tcW w:type="dxa" w:w="1234"/>
          </w:tcPr>
          <w:p>
            <w:r>
              <w:rPr>
                <w:rFonts w:ascii="Calibri" w:hAnsi="Calibri"/>
                <w:sz w:val="22"/>
              </w:rPr>
              <w:t>$408M</w:t>
            </w:r>
          </w:p>
        </w:tc>
        <w:tc>
          <w:tcPr>
            <w:tcW w:type="dxa" w:w="1234"/>
          </w:tcPr>
          <w:p>
            <w:r>
              <w:rPr>
                <w:rFonts w:ascii="Calibri" w:hAnsi="Calibri"/>
                <w:sz w:val="22"/>
              </w:rPr>
              <w:t>$425M</w:t>
            </w:r>
          </w:p>
        </w:tc>
        <w:tc>
          <w:tcPr>
            <w:tcW w:type="dxa" w:w="1234"/>
          </w:tcPr>
          <w:p>
            <w:r>
              <w:rPr>
                <w:rFonts w:ascii="Calibri" w:hAnsi="Calibri"/>
                <w:sz w:val="22"/>
              </w:rPr>
              <w:t>+5.0% YoY</w:t>
            </w:r>
          </w:p>
        </w:tc>
        <w:tc>
          <w:tcPr>
            <w:tcW w:type="dxa" w:w="1234"/>
          </w:tcPr>
          <w:p>
            <w:r>
              <w:rPr>
                <w:rFonts w:ascii="Calibri" w:hAnsi="Calibri"/>
                <w:sz w:val="22"/>
              </w:rPr>
              <w:t>~$48B portfolio; short duration; mgmt expects modest sequential improvement</w:t>
            </w:r>
          </w:p>
        </w:tc>
        <w:tc>
          <w:tcPr>
            <w:tcW w:type="dxa" w:w="1234"/>
          </w:tcPr>
          <w:p>
            <w:r>
              <w:rPr>
                <w:rFonts w:ascii="Calibri" w:hAnsi="Calibri"/>
                <w:sz w:val="22"/>
              </w:rPr>
              <w:t>Consensus above Q1 actual; modest tailwind expected</w:t>
            </w:r>
          </w:p>
        </w:tc>
      </w:tr>
      <w:tr>
        <w:tc>
          <w:tcPr>
            <w:tcW w:type="dxa" w:w="1234"/>
          </w:tcPr>
          <w:p>
            <w:r>
              <w:rPr>
                <w:rFonts w:ascii="Calibri" w:hAnsi="Calibri"/>
                <w:sz w:val="22"/>
              </w:rPr>
              <w:t>Operating ROE (%)</w:t>
            </w:r>
          </w:p>
        </w:tc>
        <w:tc>
          <w:tcPr>
            <w:tcW w:type="dxa" w:w="1234"/>
          </w:tcPr>
          <w:p>
            <w:r>
              <w:rPr>
                <w:rFonts w:ascii="Calibri" w:hAnsi="Calibri"/>
                <w:sz w:val="22"/>
              </w:rPr>
              <w:t>18.2%</w:t>
            </w:r>
          </w:p>
        </w:tc>
        <w:tc>
          <w:tcPr>
            <w:tcW w:type="dxa" w:w="1234"/>
          </w:tcPr>
          <w:p>
            <w:r>
              <w:rPr>
                <w:rFonts w:ascii="Calibri" w:hAnsi="Calibri"/>
                <w:sz w:val="22"/>
              </w:rPr>
              <w:t>15.4%</w:t>
            </w:r>
          </w:p>
        </w:tc>
        <w:tc>
          <w:tcPr>
            <w:tcW w:type="dxa" w:w="1234"/>
          </w:tcPr>
          <w:p>
            <w:r>
              <w:rPr>
                <w:rFonts w:ascii="Calibri" w:hAnsi="Calibri"/>
                <w:sz w:val="22"/>
              </w:rPr>
              <w:t>15.0%</w:t>
            </w:r>
          </w:p>
        </w:tc>
        <w:tc>
          <w:tcPr>
            <w:tcW w:type="dxa" w:w="1234"/>
          </w:tcPr>
          <w:p>
            <w:r>
              <w:rPr>
                <w:rFonts w:ascii="Calibri" w:hAnsi="Calibri"/>
                <w:sz w:val="22"/>
              </w:rPr>
              <w:t>-320 bps YoY</w:t>
            </w:r>
          </w:p>
        </w:tc>
        <w:tc>
          <w:tcPr>
            <w:tcW w:type="dxa" w:w="1234"/>
          </w:tcPr>
          <w:p>
            <w:r>
              <w:rPr>
                <w:rFonts w:ascii="Calibri" w:hAnsi="Calibri"/>
                <w:sz w:val="22"/>
              </w:rPr>
              <w:t>Mid-teens ROE target; mgmt building excess capital for return</w:t>
            </w:r>
          </w:p>
        </w:tc>
        <w:tc>
          <w:tcPr>
            <w:tcW w:type="dxa" w:w="1234"/>
          </w:tcPr>
          <w:p>
            <w:r>
              <w:rPr>
                <w:rFonts w:ascii="Calibri" w:hAnsi="Calibri"/>
                <w:sz w:val="22"/>
              </w:rPr>
              <w:t>Consensus in line with mgmt mid-teens framing</w:t>
            </w:r>
          </w:p>
        </w:tc>
      </w:tr>
      <w:tr>
        <w:tc>
          <w:tcPr>
            <w:tcW w:type="dxa" w:w="1234"/>
          </w:tcPr>
          <w:p>
            <w:r>
              <w:rPr>
                <w:rFonts w:ascii="Calibri" w:hAnsi="Calibri"/>
                <w:sz w:val="22"/>
              </w:rPr>
              <w:t>Book Value Per Share ($)</w:t>
            </w:r>
          </w:p>
        </w:tc>
        <w:tc>
          <w:tcPr>
            <w:tcW w:type="dxa" w:w="1234"/>
          </w:tcPr>
          <w:p>
            <w:r>
              <w:rPr>
                <w:rFonts w:ascii="Calibri" w:hAnsi="Calibri"/>
                <w:sz w:val="22"/>
              </w:rPr>
              <w:t>$59.17</w:t>
            </w:r>
          </w:p>
        </w:tc>
        <w:tc>
          <w:tcPr>
            <w:tcW w:type="dxa" w:w="1234"/>
          </w:tcPr>
          <w:p>
            <w:r>
              <w:rPr>
                <w:rFonts w:ascii="Calibri" w:hAnsi="Calibri"/>
                <w:sz w:val="22"/>
              </w:rPr>
              <w:t>$66.19</w:t>
            </w:r>
          </w:p>
        </w:tc>
        <w:tc>
          <w:tcPr>
            <w:tcW w:type="dxa" w:w="1234"/>
          </w:tcPr>
          <w:p>
            <w:r>
              <w:rPr>
                <w:rFonts w:ascii="Calibri" w:hAnsi="Calibri"/>
                <w:sz w:val="22"/>
              </w:rPr>
              <w:t>$68.16</w:t>
            </w:r>
          </w:p>
        </w:tc>
        <w:tc>
          <w:tcPr>
            <w:tcW w:type="dxa" w:w="1234"/>
          </w:tcPr>
          <w:p>
            <w:r>
              <w:rPr>
                <w:rFonts w:ascii="Calibri" w:hAnsi="Calibri"/>
                <w:sz w:val="22"/>
              </w:rPr>
              <w:t>+15.2% YoY</w:t>
            </w:r>
          </w:p>
        </w:tc>
        <w:tc>
          <w:tcPr>
            <w:tcW w:type="dxa" w:w="1234"/>
          </w:tcPr>
          <w:p>
            <w:r>
              <w:rPr>
                <w:rFonts w:ascii="Calibri" w:hAnsi="Calibri"/>
                <w:sz w:val="22"/>
              </w:rPr>
              <w:t>Mgmt repurchased $783M in Q1; $311M additional in Q2 through late April; $6B total authorization</w:t>
            </w:r>
          </w:p>
        </w:tc>
        <w:tc>
          <w:tcPr>
            <w:tcW w:type="dxa" w:w="1234"/>
          </w:tcPr>
          <w:p>
            <w:r>
              <w:rPr>
                <w:rFonts w:ascii="Calibri" w:hAnsi="Calibri"/>
                <w:sz w:val="22"/>
              </w:rPr>
              <w:t>Consensus implies continued BVPS growth despite buybacks</w:t>
            </w:r>
          </w:p>
        </w:tc>
      </w:tr>
    </w:tbl>
    <w:p>
      <w:r>
        <w:rPr>
          <w:rFonts w:ascii="Calibri" w:hAnsi="Calibri"/>
          <w:color w:val="525866"/>
          <w:sz w:val="22"/>
        </w:rPr>
        <w:t>Sources: Visible Alpha consensus and actuals data. All consensus figures as of latest available (July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w:t>
            </w:r>
          </w:p>
        </w:tc>
        <w:tc>
          <w:tcPr>
            <w:tcW w:type="dxa" w:w="1728"/>
          </w:tcPr>
          <w:p>
            <w:r>
              <w:rPr>
                <w:rFonts w:ascii="Calibri" w:hAnsi="Calibri"/>
                <w:b/>
                <w:sz w:val="22"/>
              </w:rPr>
              <w:t>Consensus</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Q1 2026</w:t>
            </w:r>
          </w:p>
        </w:tc>
        <w:tc>
          <w:tcPr>
            <w:tcW w:type="dxa" w:w="1728"/>
          </w:tcPr>
          <w:p>
            <w:r>
              <w:rPr>
                <w:rFonts w:ascii="Calibri" w:hAnsi="Calibri"/>
                <w:sz w:val="22"/>
              </w:rPr>
              <w:t>$2.50</w:t>
            </w:r>
          </w:p>
        </w:tc>
        <w:tc>
          <w:tcPr>
            <w:tcW w:type="dxa" w:w="1728"/>
          </w:tcPr>
          <w:p>
            <w:r>
              <w:rPr>
                <w:rFonts w:ascii="Calibri" w:hAnsi="Calibri"/>
                <w:sz w:val="22"/>
              </w:rPr>
              <w:t>$2.45</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$2.98</w:t>
            </w:r>
          </w:p>
        </w:tc>
        <w:tc>
          <w:tcPr>
            <w:tcW w:type="dxa" w:w="1728"/>
          </w:tcPr>
          <w:p>
            <w:r>
              <w:rPr>
                <w:rFonts w:ascii="Calibri" w:hAnsi="Calibri"/>
                <w:sz w:val="22"/>
              </w:rPr>
              <w:t>$2.54</w:t>
            </w:r>
          </w:p>
        </w:tc>
        <w:tc>
          <w:tcPr>
            <w:tcW w:type="dxa" w:w="1728"/>
          </w:tcPr>
          <w:p>
            <w:r>
              <w:rPr>
                <w:rFonts w:ascii="Calibri" w:hAnsi="Calibri"/>
                <w:sz w:val="22"/>
              </w:rPr>
              <w:t>+17.3%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$2.77</w:t>
            </w:r>
          </w:p>
        </w:tc>
        <w:tc>
          <w:tcPr>
            <w:tcW w:type="dxa" w:w="1728"/>
          </w:tcPr>
          <w:p>
            <w:r>
              <w:rPr>
                <w:rFonts w:ascii="Calibri" w:hAnsi="Calibri"/>
                <w:sz w:val="22"/>
              </w:rPr>
              <w:t>$2.18</w:t>
            </w:r>
          </w:p>
        </w:tc>
        <w:tc>
          <w:tcPr>
            <w:tcW w:type="dxa" w:w="1728"/>
          </w:tcPr>
          <w:p>
            <w:r>
              <w:rPr>
                <w:rFonts w:ascii="Calibri" w:hAnsi="Calibri"/>
                <w:sz w:val="22"/>
              </w:rPr>
              <w:t>+27.1%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$2.58</w:t>
            </w:r>
          </w:p>
        </w:tc>
        <w:tc>
          <w:tcPr>
            <w:tcW w:type="dxa" w:w="1728"/>
          </w:tcPr>
          <w:p>
            <w:r>
              <w:rPr>
                <w:rFonts w:ascii="Calibri" w:hAnsi="Calibri"/>
                <w:sz w:val="22"/>
              </w:rPr>
              <w:t>$2.32</w:t>
            </w:r>
          </w:p>
        </w:tc>
        <w:tc>
          <w:tcPr>
            <w:tcW w:type="dxa" w:w="1728"/>
          </w:tcPr>
          <w:p>
            <w:r>
              <w:rPr>
                <w:rFonts w:ascii="Calibri" w:hAnsi="Calibri"/>
                <w:sz w:val="22"/>
              </w:rPr>
              <w:t>+11.2%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$1.54</w:t>
            </w:r>
          </w:p>
        </w:tc>
        <w:tc>
          <w:tcPr>
            <w:tcW w:type="dxa" w:w="1728"/>
          </w:tcPr>
          <w:p>
            <w:r>
              <w:rPr>
                <w:rFonts w:ascii="Calibri" w:hAnsi="Calibri"/>
                <w:sz w:val="22"/>
              </w:rPr>
              <w:t>$1.31</w:t>
            </w:r>
          </w:p>
        </w:tc>
        <w:tc>
          <w:tcPr>
            <w:tcW w:type="dxa" w:w="1728"/>
          </w:tcPr>
          <w:p>
            <w:r>
              <w:rPr>
                <w:rFonts w:ascii="Calibri" w:hAnsi="Calibri"/>
                <w:sz w:val="22"/>
              </w:rPr>
              <w:t>+17.6%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$2.26</w:t>
            </w:r>
          </w:p>
        </w:tc>
        <w:tc>
          <w:tcPr>
            <w:tcW w:type="dxa" w:w="1728"/>
          </w:tcPr>
          <w:p>
            <w:r>
              <w:rPr>
                <w:rFonts w:ascii="Calibri" w:hAnsi="Calibri"/>
                <w:sz w:val="22"/>
              </w:rPr>
              <w:t>$1.87</w:t>
            </w:r>
          </w:p>
        </w:tc>
        <w:tc>
          <w:tcPr>
            <w:tcW w:type="dxa" w:w="1728"/>
          </w:tcPr>
          <w:p>
            <w:r>
              <w:rPr>
                <w:rFonts w:ascii="Calibri" w:hAnsi="Calibri"/>
                <w:sz w:val="22"/>
              </w:rPr>
              <w:t>+20.9%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$1.99</w:t>
            </w:r>
          </w:p>
        </w:tc>
        <w:tc>
          <w:tcPr>
            <w:tcW w:type="dxa" w:w="1728"/>
          </w:tcPr>
          <w:p>
            <w:r>
              <w:rPr>
                <w:rFonts w:ascii="Calibri" w:hAnsi="Calibri"/>
                <w:sz w:val="22"/>
              </w:rPr>
              <w:t>$2.00</w:t>
            </w:r>
          </w:p>
        </w:tc>
        <w:tc>
          <w:tcPr>
            <w:tcW w:type="dxa" w:w="1728"/>
          </w:tcPr>
          <w:p>
            <w:r>
              <w:rPr>
                <w:rFonts w:ascii="Calibri" w:hAnsi="Calibri"/>
                <w:sz w:val="22"/>
              </w:rPr>
              <w:t>-0.5%</w:t>
            </w:r>
          </w:p>
        </w:tc>
        <w:tc>
          <w:tcPr>
            <w:tcW w:type="dxa" w:w="1728"/>
          </w:tcPr>
          <w:p>
            <w:r>
              <w:rPr>
                <w:rFonts w:ascii="Calibri" w:hAnsi="Calibri"/>
                <w:b/>
                <w:color w:val="E5484D"/>
                <w:sz w:val="22"/>
              </w:rPr>
              <w:t>In-Line / Slight Miss</w:t>
            </w:r>
          </w:p>
        </w:tc>
      </w:tr>
      <w:tr>
        <w:tc>
          <w:tcPr>
            <w:tcW w:type="dxa" w:w="1728"/>
          </w:tcPr>
          <w:p>
            <w:r>
              <w:rPr>
                <w:rFonts w:ascii="Calibri" w:hAnsi="Calibri"/>
                <w:sz w:val="22"/>
              </w:rPr>
              <w:t>Q2 2024</w:t>
            </w:r>
          </w:p>
        </w:tc>
        <w:tc>
          <w:tcPr>
            <w:tcW w:type="dxa" w:w="1728"/>
          </w:tcPr>
          <w:p>
            <w:r>
              <w:rPr>
                <w:rFonts w:ascii="Calibri" w:hAnsi="Calibri"/>
                <w:sz w:val="22"/>
              </w:rPr>
              <w:t>$2.57</w:t>
            </w:r>
          </w:p>
        </w:tc>
        <w:tc>
          <w:tcPr>
            <w:tcW w:type="dxa" w:w="1728"/>
          </w:tcPr>
          <w:p>
            <w:r>
              <w:rPr>
                <w:rFonts w:ascii="Calibri" w:hAnsi="Calibri"/>
                <w:sz w:val="22"/>
              </w:rPr>
              <w:t>$2.21</w:t>
            </w:r>
          </w:p>
        </w:tc>
        <w:tc>
          <w:tcPr>
            <w:tcW w:type="dxa" w:w="1728"/>
          </w:tcPr>
          <w:p>
            <w:r>
              <w:rPr>
                <w:rFonts w:ascii="Calibri" w:hAnsi="Calibri"/>
                <w:sz w:val="22"/>
              </w:rPr>
              <w:t>+16.3%</w:t>
            </w:r>
          </w:p>
        </w:tc>
        <w:tc>
          <w:tcPr>
            <w:tcW w:type="dxa" w:w="1728"/>
          </w:tcPr>
          <w:p>
            <w:r>
              <w:rPr>
                <w:rFonts w:ascii="Calibri" w:hAnsi="Calibri"/>
                <w:b/>
                <w:color w:val="30A46C"/>
                <w:sz w:val="22"/>
              </w:rPr>
              <w:t>Beat</w:t>
            </w:r>
          </w:p>
        </w:tc>
      </w:tr>
    </w:tbl>
    <w:p>
      <w:r>
        <w:rPr>
          <w:rFonts w:ascii="Calibri" w:hAnsi="Calibri"/>
          <w:b/>
          <w:color w:val="525866"/>
          <w:sz w:val="22"/>
        </w:rPr>
        <w:t>KPI 2: Net Premiums Written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 ($B)</w:t>
            </w:r>
          </w:p>
        </w:tc>
        <w:tc>
          <w:tcPr>
            <w:tcW w:type="dxa" w:w="1728"/>
          </w:tcPr>
          <w:p>
            <w:r>
              <w:rPr>
                <w:rFonts w:ascii="Calibri" w:hAnsi="Calibri"/>
                <w:b/>
                <w:sz w:val="22"/>
              </w:rPr>
              <w:t>Consensus ($B)</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Q1 2026</w:t>
            </w:r>
          </w:p>
        </w:tc>
        <w:tc>
          <w:tcPr>
            <w:tcW w:type="dxa" w:w="1728"/>
          </w:tcPr>
          <w:p>
            <w:r>
              <w:rPr>
                <w:rFonts w:ascii="Calibri" w:hAnsi="Calibri"/>
                <w:sz w:val="22"/>
              </w:rPr>
              <w:t>$4.35B</w:t>
            </w:r>
          </w:p>
        </w:tc>
        <w:tc>
          <w:tcPr>
            <w:tcW w:type="dxa" w:w="1728"/>
          </w:tcPr>
          <w:p>
            <w:r>
              <w:rPr>
                <w:rFonts w:ascii="Calibri" w:hAnsi="Calibri"/>
                <w:sz w:val="22"/>
              </w:rPr>
              <w:t>$4.50B</w:t>
            </w:r>
          </w:p>
        </w:tc>
        <w:tc>
          <w:tcPr>
            <w:tcW w:type="dxa" w:w="1728"/>
          </w:tcPr>
          <w:p>
            <w:r>
              <w:rPr>
                <w:rFonts w:ascii="Calibri" w:hAnsi="Calibri"/>
                <w:sz w:val="22"/>
              </w:rPr>
              <w:t>-3.4%</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$3.65B</w:t>
            </w:r>
          </w:p>
        </w:tc>
        <w:tc>
          <w:tcPr>
            <w:tcW w:type="dxa" w:w="1728"/>
          </w:tcPr>
          <w:p>
            <w:r>
              <w:rPr>
                <w:rFonts w:ascii="Calibri" w:hAnsi="Calibri"/>
                <w:sz w:val="22"/>
              </w:rPr>
              <w:t>$3.96B</w:t>
            </w:r>
          </w:p>
        </w:tc>
        <w:tc>
          <w:tcPr>
            <w:tcW w:type="dxa" w:w="1728"/>
          </w:tcPr>
          <w:p>
            <w:r>
              <w:rPr>
                <w:rFonts w:ascii="Calibri" w:hAnsi="Calibri"/>
                <w:sz w:val="22"/>
              </w:rPr>
              <w:t>-7.8%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$3.96B</w:t>
            </w:r>
          </w:p>
        </w:tc>
        <w:tc>
          <w:tcPr>
            <w:tcW w:type="dxa" w:w="1728"/>
          </w:tcPr>
          <w:p>
            <w:r>
              <w:rPr>
                <w:rFonts w:ascii="Calibri" w:hAnsi="Calibri"/>
                <w:sz w:val="22"/>
              </w:rPr>
              <w:t>$4.40B</w:t>
            </w:r>
          </w:p>
        </w:tc>
        <w:tc>
          <w:tcPr>
            <w:tcW w:type="dxa" w:w="1728"/>
          </w:tcPr>
          <w:p>
            <w:r>
              <w:rPr>
                <w:rFonts w:ascii="Calibri" w:hAnsi="Calibri"/>
                <w:sz w:val="22"/>
              </w:rPr>
              <w:t>-9.9%</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$4.35B</w:t>
            </w:r>
          </w:p>
        </w:tc>
        <w:tc>
          <w:tcPr>
            <w:tcW w:type="dxa" w:w="1728"/>
          </w:tcPr>
          <w:p>
            <w:r>
              <w:rPr>
                <w:rFonts w:ascii="Calibri" w:hAnsi="Calibri"/>
                <w:sz w:val="22"/>
              </w:rPr>
              <w:t>$4.30B</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$4.52B</w:t>
            </w:r>
          </w:p>
        </w:tc>
        <w:tc>
          <w:tcPr>
            <w:tcW w:type="dxa" w:w="1728"/>
          </w:tcPr>
          <w:p>
            <w:r>
              <w:rPr>
                <w:rFonts w:ascii="Calibri" w:hAnsi="Calibri"/>
                <w:sz w:val="22"/>
              </w:rPr>
              <w:t>$4.78B</w:t>
            </w:r>
          </w:p>
        </w:tc>
        <w:tc>
          <w:tcPr>
            <w:tcW w:type="dxa" w:w="1728"/>
          </w:tcPr>
          <w:p>
            <w:r>
              <w:rPr>
                <w:rFonts w:ascii="Calibri" w:hAnsi="Calibri"/>
                <w:sz w:val="22"/>
              </w:rPr>
              <w:t>-5.5%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$3.82B</w:t>
            </w:r>
          </w:p>
        </w:tc>
        <w:tc>
          <w:tcPr>
            <w:tcW w:type="dxa" w:w="1728"/>
          </w:tcPr>
          <w:p>
            <w:r>
              <w:rPr>
                <w:rFonts w:ascii="Calibri" w:hAnsi="Calibri"/>
                <w:sz w:val="22"/>
              </w:rPr>
              <w:t>$3.92B</w:t>
            </w:r>
          </w:p>
        </w:tc>
        <w:tc>
          <w:tcPr>
            <w:tcW w:type="dxa" w:w="1728"/>
          </w:tcPr>
          <w:p>
            <w:r>
              <w:rPr>
                <w:rFonts w:ascii="Calibri" w:hAnsi="Calibri"/>
                <w:sz w:val="22"/>
              </w:rPr>
              <w:t>-2.5%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$4.05B</w:t>
            </w:r>
          </w:p>
        </w:tc>
        <w:tc>
          <w:tcPr>
            <w:tcW w:type="dxa" w:w="1728"/>
          </w:tcPr>
          <w:p>
            <w:r>
              <w:rPr>
                <w:rFonts w:ascii="Calibri" w:hAnsi="Calibri"/>
                <w:sz w:val="22"/>
              </w:rPr>
              <w:t>$3.83B</w:t>
            </w:r>
          </w:p>
        </w:tc>
        <w:tc>
          <w:tcPr>
            <w:tcW w:type="dxa" w:w="1728"/>
          </w:tcPr>
          <w:p>
            <w:r>
              <w:rPr>
                <w:rFonts w:ascii="Calibri" w:hAnsi="Calibri"/>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$3.78B</w:t>
            </w:r>
          </w:p>
        </w:tc>
        <w:tc>
          <w:tcPr>
            <w:tcW w:type="dxa" w:w="1728"/>
          </w:tcPr>
          <w:p>
            <w:r>
              <w:rPr>
                <w:rFonts w:ascii="Calibri" w:hAnsi="Calibri"/>
                <w:sz w:val="22"/>
              </w:rPr>
              <w:t>$3.94B</w:t>
            </w:r>
          </w:p>
        </w:tc>
        <w:tc>
          <w:tcPr>
            <w:tcW w:type="dxa" w:w="1728"/>
          </w:tcPr>
          <w:p>
            <w:r>
              <w:rPr>
                <w:rFonts w:ascii="Calibri" w:hAnsi="Calibri"/>
                <w:sz w:val="22"/>
              </w:rPr>
              <w:t>-4.1%</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ACGL has beaten EPS consensus in 7 of the last 8 quarters with an average beat of ~14%, reflecting consistently conservative street estimates; however, net premiums written has missed consensus in 6 of the last 8 quarters as the market has been slow to reset top-line expectations for the competitive rate environment — this persistent NPW miss pattern means the bar on premiums is now more appropriately set heading into Q2 2026.</w:t>
      </w:r>
      <w:r>
        <w:rPr>
          <w:rFonts w:ascii="Calibri" w:hAnsi="Calibr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numeric guidance was revised post-Q1 earnings, but management's tone has shifted toward </w:t>
      </w:r>
      <w:r>
        <w:rPr>
          <w:rFonts w:ascii="Calibri" w:hAnsi="Calibri"/>
          <w:b/>
          <w:color w:val="525866"/>
          <w:sz w:val="22"/>
        </w:rPr>
        <w:t>capital return as the primary near-term priority</w:t>
      </w:r>
      <w:r>
        <w:rPr>
          <w:rFonts w:ascii="Calibri" w:hAnsi="Calibri"/>
          <w:color w:val="525866"/>
          <w:sz w:val="22"/>
        </w:rPr>
        <w:t xml:space="preserve"> as reinsurance growth has tapered materially; the $3B buyback authorization increase and $311M of Q2 repurchases already executed are the most important post-earnings development.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28)</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Operating EPS (Q2 2026)</w:t>
            </w:r>
          </w:p>
        </w:tc>
        <w:tc>
          <w:tcPr>
            <w:tcW w:type="dxa" w:w="1728"/>
          </w:tcPr>
          <w:p>
            <w:r>
              <w:rPr>
                <w:rFonts w:ascii="Calibri" w:hAnsi="Calibri"/>
                <w:sz w:val="22"/>
              </w:rPr>
              <w:t>No explicit guidance; mgmt flagged elevated OpEx in Q2 before H2 normalization</w:t>
            </w:r>
          </w:p>
        </w:tc>
        <w:tc>
          <w:tcPr>
            <w:tcW w:type="dxa" w:w="1728"/>
          </w:tcPr>
          <w:p>
            <w:r>
              <w:rPr>
                <w:rFonts w:ascii="Calibri" w:hAnsi="Calibri"/>
                <w:sz w:val="22"/>
              </w:rPr>
              <w:t>—</w:t>
            </w:r>
          </w:p>
        </w:tc>
        <w:tc>
          <w:tcPr>
            <w:tcW w:type="dxa" w:w="1728"/>
          </w:tcPr>
          <w:p>
            <w:r>
              <w:rPr>
                <w:rFonts w:ascii="Calibri" w:hAnsi="Calibri"/>
                <w:sz w:val="22"/>
              </w:rPr>
              <w:t>$2.47</w:t>
            </w:r>
          </w:p>
        </w:tc>
        <w:tc>
          <w:tcPr>
            <w:tcW w:type="dxa" w:w="1728"/>
          </w:tcPr>
          <w:p>
            <w:r>
              <w:rPr>
                <w:rFonts w:ascii="Calibri" w:hAnsi="Calibri"/>
                <w:sz w:val="22"/>
              </w:rPr>
              <w:t>No post-earnings revision; consensus drifted slightly lower post-Q1 print</w:t>
            </w:r>
          </w:p>
        </w:tc>
      </w:tr>
      <w:tr>
        <w:tc>
          <w:tcPr>
            <w:tcW w:type="dxa" w:w="1728"/>
          </w:tcPr>
          <w:p>
            <w:r>
              <w:rPr>
                <w:rFonts w:ascii="Calibri" w:hAnsi="Calibri"/>
                <w:sz w:val="22"/>
              </w:rPr>
              <w:t>Net Premiums Written (Q2 2026)</w:t>
            </w:r>
          </w:p>
        </w:tc>
        <w:tc>
          <w:tcPr>
            <w:tcW w:type="dxa" w:w="1728"/>
          </w:tcPr>
          <w:p>
            <w:r>
              <w:rPr>
                <w:rFonts w:ascii="Calibri" w:hAnsi="Calibri"/>
                <w:sz w:val="22"/>
              </w:rPr>
              <w:t>~$250M NPW headwind from MCE non-renewals throughout 2026; mid-year renewals expected competitive with double-digit cat rate declines</w:t>
            </w:r>
          </w:p>
        </w:tc>
        <w:tc>
          <w:tcPr>
            <w:tcW w:type="dxa" w:w="1728"/>
          </w:tcPr>
          <w:p>
            <w:r>
              <w:rPr>
                <w:rFonts w:ascii="Calibri" w:hAnsi="Calibri"/>
                <w:sz w:val="22"/>
              </w:rPr>
              <w:t>—</w:t>
            </w:r>
          </w:p>
        </w:tc>
        <w:tc>
          <w:tcPr>
            <w:tcW w:type="dxa" w:w="1728"/>
          </w:tcPr>
          <w:p>
            <w:r>
              <w:rPr>
                <w:rFonts w:ascii="Calibri" w:hAnsi="Calibri"/>
                <w:sz w:val="22"/>
              </w:rPr>
              <w:t>$4.22B</w:t>
            </w:r>
          </w:p>
        </w:tc>
        <w:tc>
          <w:tcPr>
            <w:tcW w:type="dxa" w:w="1728"/>
          </w:tcPr>
          <w:p>
            <w:r>
              <w:rPr>
                <w:rFonts w:ascii="Calibri" w:hAnsi="Calibri"/>
                <w:sz w:val="22"/>
              </w:rPr>
              <w:t>RNR Q2 2026 results confirmed property cat rates down high-teens at mid-year — consistent with ACGL guidance</w:t>
            </w:r>
          </w:p>
        </w:tc>
      </w:tr>
      <w:tr>
        <w:tc>
          <w:tcPr>
            <w:tcW w:type="dxa" w:w="1728"/>
          </w:tcPr>
          <w:p>
            <w:r>
              <w:rPr>
                <w:rFonts w:ascii="Calibri" w:hAnsi="Calibri"/>
                <w:sz w:val="22"/>
              </w:rPr>
              <w:t>Operating Expense Ratio</w:t>
            </w:r>
          </w:p>
        </w:tc>
        <w:tc>
          <w:tcPr>
            <w:tcW w:type="dxa" w:w="1728"/>
          </w:tcPr>
          <w:p>
            <w:r>
              <w:rPr>
                <w:rFonts w:ascii="Calibri" w:hAnsi="Calibri"/>
                <w:sz w:val="22"/>
              </w:rPr>
              <w:t>Elevated in Q2 due to MCE systems cutover costs; expected to normalize toward historical levels in H2 2026</w:t>
            </w:r>
          </w:p>
        </w:tc>
        <w:tc>
          <w:tcPr>
            <w:tcW w:type="dxa" w:w="1728"/>
          </w:tcPr>
          <w:p>
            <w:r>
              <w:rPr>
                <w:rFonts w:ascii="Calibri" w:hAnsi="Calibri"/>
                <w:sz w:val="22"/>
              </w:rPr>
              <w:t>—</w:t>
            </w:r>
          </w:p>
        </w:tc>
        <w:tc>
          <w:tcPr>
            <w:tcW w:type="dxa" w:w="1728"/>
          </w:tcPr>
          <w:p>
            <w:r>
              <w:rPr>
                <w:rFonts w:ascii="Calibri" w:hAnsi="Calibri"/>
                <w:sz w:val="22"/>
              </w:rPr>
              <w:t>82.2% ex-cat ex-PYD combined ratio (consensus)</w:t>
            </w:r>
          </w:p>
        </w:tc>
        <w:tc>
          <w:tcPr>
            <w:tcW w:type="dxa" w:w="1728"/>
          </w:tcPr>
          <w:p>
            <w:r>
              <w:rPr>
                <w:rFonts w:ascii="Calibri" w:hAnsi="Calibri"/>
                <w:sz w:val="22"/>
              </w:rPr>
              <w:t>Q2 still expected to carry transition costs; H2 normalization is the key margin catalyst</w:t>
            </w:r>
          </w:p>
        </w:tc>
      </w:tr>
      <w:tr>
        <w:tc>
          <w:tcPr>
            <w:tcW w:type="dxa" w:w="1728"/>
          </w:tcPr>
          <w:p>
            <w:r>
              <w:rPr>
                <w:rFonts w:ascii="Calibri" w:hAnsi="Calibri"/>
                <w:sz w:val="22"/>
              </w:rPr>
              <w:t>Share Repurchases</w:t>
            </w:r>
          </w:p>
        </w:tc>
        <w:tc>
          <w:tcPr>
            <w:tcW w:type="dxa" w:w="1728"/>
          </w:tcPr>
          <w:p>
            <w:r>
              <w:rPr>
                <w:rFonts w:ascii="Calibri" w:hAnsi="Calibri"/>
                <w:sz w:val="22"/>
              </w:rPr>
              <w:t>$783M repurchased in Q1; Board authorized additional $3B (total $6B authorization); $311M repurchased in Q2 through April 29</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Capital return is front and center; mgmt confirmed no structural limits to returning all or more than operating income</w:t>
            </w:r>
          </w:p>
        </w:tc>
      </w:tr>
      <w:tr>
        <w:tc>
          <w:tcPr>
            <w:tcW w:type="dxa" w:w="1728"/>
          </w:tcPr>
          <w:p>
            <w:r>
              <w:rPr>
                <w:rFonts w:ascii="Calibri" w:hAnsi="Calibri"/>
                <w:sz w:val="22"/>
              </w:rPr>
              <w:t>Property Cat PML</w:t>
            </w:r>
          </w:p>
        </w:tc>
        <w:tc>
          <w:tcPr>
            <w:tcW w:type="dxa" w:w="1728"/>
          </w:tcPr>
          <w:p>
            <w:r>
              <w:rPr>
                <w:rFonts w:ascii="Calibri" w:hAnsi="Calibri"/>
                <w:sz w:val="22"/>
              </w:rPr>
              <w:t>Peak zone PML flat at $1.9B (8.2% of tangible equity) at 4/1; more meaningful changes expected at 6/1 and 7/1 depending on rate outcomes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7/1 renewal outcomes will be disclosed on Q2 call; key read on cat exposure trajectory</w:t>
            </w:r>
          </w:p>
        </w:tc>
      </w:tr>
      <w:tr>
        <w:tc>
          <w:tcPr>
            <w:tcW w:type="dxa" w:w="1728"/>
          </w:tcPr>
          <w:p>
            <w:r>
              <w:rPr>
                <w:rFonts w:ascii="Calibri" w:hAnsi="Calibri"/>
                <w:sz w:val="22"/>
              </w:rPr>
              <w:t>Iran Conflict Losses</w:t>
            </w:r>
          </w:p>
        </w:tc>
        <w:tc>
          <w:tcPr>
            <w:tcW w:type="dxa" w:w="1728"/>
          </w:tcPr>
          <w:p>
            <w:r>
              <w:rPr>
                <w:rFonts w:ascii="Calibri" w:hAnsi="Calibri"/>
                <w:sz w:val="22"/>
              </w:rPr>
              <w:t>Additional Q2 losses expected from political violence, war-on-land, terror lines out of London; Q1 losses absorbed within cat load</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Key wildcard for Q2 EPS; industry loss estimated at several billion dollars; Arch selectively wrote incremental business at spiked rates</w:t>
            </w:r>
          </w:p>
        </w:tc>
      </w:tr>
      <w:tr>
        <w:tc>
          <w:tcPr>
            <w:tcW w:type="dxa" w:w="1728"/>
          </w:tcPr>
          <w:p>
            <w:r>
              <w:rPr>
                <w:rFonts w:ascii="Calibri" w:hAnsi="Calibri"/>
                <w:sz w:val="22"/>
              </w:rPr>
              <w:t>MidCorp (MCE) Growth</w:t>
            </w:r>
          </w:p>
        </w:tc>
        <w:tc>
          <w:tcPr>
            <w:tcW w:type="dxa" w:w="1728"/>
          </w:tcPr>
          <w:p>
            <w:r>
              <w:rPr>
                <w:rFonts w:ascii="Calibri" w:hAnsi="Calibri"/>
                <w:sz w:val="22"/>
              </w:rPr>
              <w:t>Systems migration complete; core upper middle market business stabilizing; meaningful growth contribution is a 2027 story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to tone; Q2 will still reflect MCE non-renewal drag (~$250M annualized)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drifted modestly lower since the Q1 print, with EPS trimmed ~2% and NPW down ~1% — revisions are tracking management's cautious tone on top-line growth, and the gap between consensus and guidance is not a meaningful risk or cushion in either direction.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(May 5, 2026 — 5 Days Post Q1 Print)</w:t>
            </w:r>
          </w:p>
        </w:tc>
        <w:tc>
          <w:tcPr>
            <w:tcW w:type="dxa" w:w="1080"/>
          </w:tcPr>
          <w:p>
            <w:r>
              <w:rPr>
                <w:rFonts w:ascii="Calibri" w:hAnsi="Calibri"/>
                <w:b/>
                <w:sz w:val="22"/>
              </w:rPr>
              <w:t>Current Consensus</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$2.41</w:t>
            </w:r>
          </w:p>
        </w:tc>
        <w:tc>
          <w:tcPr>
            <w:tcW w:type="dxa" w:w="1080"/>
          </w:tcPr>
          <w:p>
            <w:r>
              <w:rPr>
                <w:rFonts w:ascii="Calibri" w:hAnsi="Calibri"/>
                <w:sz w:val="22"/>
              </w:rPr>
              <w:t>$2.47</w:t>
            </w:r>
          </w:p>
        </w:tc>
        <w:tc>
          <w:tcPr>
            <w:tcW w:type="dxa" w:w="1080"/>
          </w:tcPr>
          <w:p>
            <w:r>
              <w:rPr>
                <w:rFonts w:ascii="Calibri" w:hAnsi="Calibri"/>
                <w:sz w:val="22"/>
              </w:rPr>
              <w:t>+2.5%</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 2026)</w:t>
            </w:r>
          </w:p>
        </w:tc>
        <w:tc>
          <w:tcPr>
            <w:tcW w:type="dxa" w:w="1080"/>
          </w:tcPr>
          <w:p>
            <w:r>
              <w:rPr>
                <w:rFonts w:ascii="Calibri" w:hAnsi="Calibri"/>
                <w:sz w:val="22"/>
              </w:rPr>
              <w:t>$9.35</w:t>
            </w:r>
          </w:p>
        </w:tc>
        <w:tc>
          <w:tcPr>
            <w:tcW w:type="dxa" w:w="1080"/>
          </w:tcPr>
          <w:p>
            <w:r>
              <w:rPr>
                <w:rFonts w:ascii="Calibri" w:hAnsi="Calibri"/>
                <w:sz w:val="22"/>
              </w:rPr>
              <w:t>$9.28</w:t>
            </w:r>
          </w:p>
        </w:tc>
        <w:tc>
          <w:tcPr>
            <w:tcW w:type="dxa" w:w="1080"/>
          </w:tcPr>
          <w:p>
            <w:r>
              <w:rPr>
                <w:rFonts w:ascii="Calibri" w:hAnsi="Calibri"/>
                <w:sz w:val="22"/>
              </w:rPr>
              <w:t>-0.7%</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Premiums Written (Q2 2026)</w:t>
            </w:r>
          </w:p>
        </w:tc>
        <w:tc>
          <w:tcPr>
            <w:tcW w:type="dxa" w:w="1080"/>
          </w:tcPr>
          <w:p>
            <w:r>
              <w:rPr>
                <w:rFonts w:ascii="Calibri" w:hAnsi="Calibri"/>
                <w:sz w:val="22"/>
              </w:rPr>
              <w:t>$4.27B</w:t>
            </w:r>
          </w:p>
        </w:tc>
        <w:tc>
          <w:tcPr>
            <w:tcW w:type="dxa" w:w="1080"/>
          </w:tcPr>
          <w:p>
            <w:r>
              <w:rPr>
                <w:rFonts w:ascii="Calibri" w:hAnsi="Calibri"/>
                <w:sz w:val="22"/>
              </w:rPr>
              <w:t>$4.22B</w:t>
            </w:r>
          </w:p>
        </w:tc>
        <w:tc>
          <w:tcPr>
            <w:tcW w:type="dxa" w:w="1080"/>
          </w:tcPr>
          <w:p>
            <w:r>
              <w:rPr>
                <w:rFonts w:ascii="Calibri" w:hAnsi="Calibri"/>
                <w:sz w:val="22"/>
              </w:rPr>
              <w:t>-1.3%</w:t>
            </w:r>
          </w:p>
        </w:tc>
        <w:tc>
          <w:tcPr>
            <w:tcW w:type="dxa" w:w="1080"/>
          </w:tcPr>
          <w:p>
            <w:r>
              <w:rPr>
                <w:rFonts w:ascii="Calibri" w:hAnsi="Calibri"/>
                <w:sz w:val="22"/>
              </w:rPr>
              <w:t>~$250M NPW headwind from MCE non-renewals in 2026; mid-year cat rates expected competitive</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Consensus below guidance-implied run-rate; reflects rate declines</w:t>
            </w:r>
          </w:p>
        </w:tc>
      </w:tr>
      <w:tr>
        <w:tc>
          <w:tcPr>
            <w:tcW w:type="dxa" w:w="1080"/>
          </w:tcPr>
          <w:p>
            <w:r>
              <w:rPr>
                <w:rFonts w:ascii="Calibri" w:hAnsi="Calibri"/>
                <w:sz w:val="22"/>
              </w:rPr>
              <w:t>Net Premiums Written (FY 2026)</w:t>
            </w:r>
          </w:p>
        </w:tc>
        <w:tc>
          <w:tcPr>
            <w:tcW w:type="dxa" w:w="1080"/>
          </w:tcPr>
          <w:p>
            <w:r>
              <w:rPr>
                <w:rFonts w:ascii="Calibri" w:hAnsi="Calibri"/>
                <w:sz w:val="22"/>
              </w:rPr>
              <w:t>$16.26B</w:t>
            </w:r>
          </w:p>
        </w:tc>
        <w:tc>
          <w:tcPr>
            <w:tcW w:type="dxa" w:w="1080"/>
          </w:tcPr>
          <w:p>
            <w:r>
              <w:rPr>
                <w:rFonts w:ascii="Calibri" w:hAnsi="Calibri"/>
                <w:sz w:val="22"/>
              </w:rPr>
              <w:t>$16.17B</w:t>
            </w:r>
          </w:p>
        </w:tc>
        <w:tc>
          <w:tcPr>
            <w:tcW w:type="dxa" w:w="1080"/>
          </w:tcPr>
          <w:p>
            <w:r>
              <w:rPr>
                <w:rFonts w:ascii="Calibri" w:hAnsi="Calibri"/>
                <w:sz w:val="22"/>
              </w:rPr>
              <w:t>-0.6%</w:t>
            </w:r>
          </w:p>
        </w:tc>
        <w:tc>
          <w:tcPr>
            <w:tcW w:type="dxa" w:w="1080"/>
          </w:tcPr>
          <w:p>
            <w:r>
              <w:rPr>
                <w:rFonts w:ascii="Calibri" w:hAnsi="Calibri"/>
                <w:sz w:val="22"/>
              </w:rPr>
              <w:t>~$250M NPW headwind from MCE non-renewals in 2026</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Consensus tracking guidance</w:t>
            </w:r>
          </w:p>
        </w:tc>
      </w:tr>
      <w:tr>
        <w:tc>
          <w:tcPr>
            <w:tcW w:type="dxa" w:w="1080"/>
          </w:tcPr>
          <w:p>
            <w:r>
              <w:rPr>
                <w:rFonts w:ascii="Calibri" w:hAnsi="Calibri"/>
                <w:sz w:val="22"/>
              </w:rPr>
              <w:t>Combined Ratio Ex-Cat Ex-PYD (Q2 2026)</w:t>
            </w:r>
          </w:p>
        </w:tc>
        <w:tc>
          <w:tcPr>
            <w:tcW w:type="dxa" w:w="1080"/>
          </w:tcPr>
          <w:p>
            <w:r>
              <w:rPr>
                <w:rFonts w:ascii="Calibri" w:hAnsi="Calibri"/>
                <w:sz w:val="22"/>
              </w:rPr>
              <w:t>82.1%</w:t>
            </w:r>
          </w:p>
        </w:tc>
        <w:tc>
          <w:tcPr>
            <w:tcW w:type="dxa" w:w="1080"/>
          </w:tcPr>
          <w:p>
            <w:r>
              <w:rPr>
                <w:rFonts w:ascii="Calibri" w:hAnsi="Calibri"/>
                <w:sz w:val="22"/>
              </w:rPr>
              <w:t>82.2%</w:t>
            </w:r>
          </w:p>
        </w:tc>
        <w:tc>
          <w:tcPr>
            <w:tcW w:type="dxa" w:w="1080"/>
          </w:tcPr>
          <w:p>
            <w:r>
              <w:rPr>
                <w:rFonts w:ascii="Calibri" w:hAnsi="Calibri"/>
                <w:sz w:val="22"/>
              </w:rPr>
              <w:t>+0.1 pts</w:t>
            </w:r>
          </w:p>
        </w:tc>
        <w:tc>
          <w:tcPr>
            <w:tcW w:type="dxa" w:w="1080"/>
          </w:tcPr>
          <w:p>
            <w:r>
              <w:rPr>
                <w:rFonts w:ascii="Calibri" w:hAnsi="Calibri"/>
                <w:sz w:val="22"/>
              </w:rPr>
              <w:t>Elevated OpEx in Q2; normalization in H2</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Consensus in line with mgmt tone</w:t>
            </w:r>
          </w:p>
        </w:tc>
      </w:tr>
      <w:tr>
        <w:tc>
          <w:tcPr>
            <w:tcW w:type="dxa" w:w="1080"/>
          </w:tcPr>
          <w:p>
            <w:r>
              <w:rPr>
                <w:rFonts w:ascii="Calibri" w:hAnsi="Calibri"/>
                <w:sz w:val="22"/>
              </w:rPr>
              <w:t>Underwriting Income (Q2 2026)</w:t>
            </w:r>
          </w:p>
        </w:tc>
        <w:tc>
          <w:tcPr>
            <w:tcW w:type="dxa" w:w="1080"/>
          </w:tcPr>
          <w:p>
            <w:r>
              <w:rPr>
                <w:rFonts w:ascii="Calibri" w:hAnsi="Calibri"/>
                <w:sz w:val="22"/>
              </w:rPr>
              <w:t>$655M</w:t>
            </w:r>
          </w:p>
        </w:tc>
        <w:tc>
          <w:tcPr>
            <w:tcW w:type="dxa" w:w="1080"/>
          </w:tcPr>
          <w:p>
            <w:r>
              <w:rPr>
                <w:rFonts w:ascii="Calibri" w:hAnsi="Calibri"/>
                <w:sz w:val="22"/>
              </w:rPr>
              <w:t>$689M</w:t>
            </w:r>
          </w:p>
        </w:tc>
        <w:tc>
          <w:tcPr>
            <w:tcW w:type="dxa" w:w="1080"/>
          </w:tcPr>
          <w:p>
            <w:r>
              <w:rPr>
                <w:rFonts w:ascii="Calibri" w:hAnsi="Calibri"/>
                <w:sz w:val="22"/>
              </w:rPr>
              <w:t>+5.2%</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Estimates have been modestly revised upward for Q2 EPS (+2.5%) since the post-Q1 baseline, likely reflecting the strong capital return signal from the $3B buyback authorization, while FY 2026 EPS has been trimmed slightly (-0.7%) as analysts reset for the full-year top-line headwinds. The revision trajectory is orderly and not signaling a material risk in either direction. </w:t>
      </w:r>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ACGL has recovered from its post-Q1 sell-off and is up ~7% since last earnings, but has </w:t>
      </w:r>
      <w:r>
        <w:rPr>
          <w:rFonts w:ascii="Calibri" w:hAnsi="Calibri"/>
          <w:b/>
          <w:color w:val="525866"/>
          <w:sz w:val="22"/>
        </w:rPr>
        <w:t>meaningfully underperformed the insurance ETF (IAK, +12%)</w:t>
      </w:r>
      <w:r>
        <w:rPr>
          <w:rFonts w:ascii="Calibri" w:hAnsi="Calibri"/>
          <w:color w:val="525866"/>
          <w:sz w:val="22"/>
        </w:rPr>
        <w:t xml:space="preserve"> — the gap reflects the market rewarding peers with cleaner top-line growth stories while ACGL's premium headwinds weigh on sentiment despite strong EPS and capital return.</w:t>
      </w:r>
    </w:p>
    <w:p>
      <w:r>
        <w:rPr>
          <w:rFonts w:ascii="Calibri" w:hAnsi="Calibri"/>
          <w:b/>
          <w:color w:val="525866"/>
          <w:sz w:val="22"/>
        </w:rPr>
        <w:t xml:space="preserve">Sector ETF used: </w:t>
      </w:r>
      <w:r>
        <w:rPr>
          <w:rFonts w:ascii="Calibri" w:hAnsi="Calibri"/>
          <w:color w:val="525866"/>
          <w:sz w:val="22"/>
        </w:rPr>
        <w:t>IAK (iShares U.S. Insurance ETF) — appropriate for ACGL's P&amp;C insurance and reinsurance sub-sector. ACGL is a top holding in IAK. The S&amp;P 500 (SPY) is included as the broad market benchmark.</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ACGL vs IAK (Insurance ETF) vs S&amp;P 500 — Indexed to 100 at April 28, 2026 (Last Earnings Date). Source: Stock Price Data.</w:t>
      </w:r>
    </w:p>
    <w:p>
      <w:r>
        <w:rPr>
          <w:rFonts w:ascii="Calibri" w:hAnsi="Calibri"/>
          <w:b/>
          <w:color w:val="525866"/>
          <w:sz w:val="22"/>
        </w:rPr>
        <w:t xml:space="preserve">Performance Summary (April 28 – July 28, 2026): </w:t>
      </w:r>
      <w:r>
        <w:rPr>
          <w:rFonts w:ascii="Calibri" w:hAnsi="Calibri"/>
          <w:color w:val="525866"/>
          <w:sz w:val="22"/>
        </w:rPr>
        <w:t xml:space="preserve">ACGL opened at $97.06 on earnings day (April 28), fell to $92.72 on April 29 (-4.5% day-after reaction), and has since recovered to $103.88 as of July 28 (+7.0% total since last earnings). IAK gained +11.8% over the same period, and SPY gained +3.9%. The stock's underperformance vs. IAK is notable — peers with cleaner premium growth stories (RNR, HG) have been rewarded more. Key events marked: leadership restructure announcement (June 3), $2B debt offering completion (June 9), and Halgan/Schmeiser CEO appointments (June 17). The stock re-rated higher in late June/early July, likely driven by the leadership clarity and the broader insurance sector rally. The stock is now trading at approximately </w:t>
      </w:r>
    </w:p>
    <w:p>
      <w:r>
        <w:rPr>
          <w:rFonts w:ascii="Calibri" w:hAnsi="Calibri"/>
          <w:b/>
          <w:color w:val="525866"/>
          <w:sz w:val="22"/>
        </w:rPr>
        <w:t xml:space="preserve">Valuation context: </w:t>
      </w:r>
      <w:r>
        <w:rPr>
          <w:rFonts w:ascii="Calibri" w:hAnsi="Calibri"/>
          <w:color w:val="525866"/>
          <w:sz w:val="22"/>
        </w:rPr>
        <w:t>At ~$104, ACGL trades at approximately 11x NTM operating EPS ($9.28 consensus), a discount to its historical average of ~13-14x and to peers like RNR (~12x). The discount reflects market skepticism on premium growth sustainability, but the aggressive buyback program (which is accretive to EPS and BVPS) provides a floor. The stock is not pricing in a beat — it is pricing in execution on capital return.</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reporters (RNR) and Q1 2026 reporters commenting on Q2 outlook (HG, SPNT) paints a consistent picture: </w:t>
      </w:r>
      <w:r>
        <w:rPr>
          <w:rFonts w:ascii="Calibri" w:hAnsi="Calibri"/>
          <w:b/>
          <w:color w:val="525866"/>
          <w:sz w:val="22"/>
        </w:rPr>
        <w:t>property cat rates down high-teens at mid-year, casualty reinsurance under ceding commission pressure, and cyber softening</w:t>
      </w:r>
      <w:r>
        <w:rPr>
          <w:rFonts w:ascii="Calibri" w:hAnsi="Calibri"/>
          <w:color w:val="525866"/>
          <w:sz w:val="22"/>
        </w:rPr>
        <w:t xml:space="preserve"> — all headwinds ACGL has already flagged, suggesting consensus is appropriately calibrated. The positive read-through is that underlying underwriting margins remain adequate and benign cat activity is a tailwind.</w:t>
      </w:r>
    </w:p>
    <w:p>
      <w:r>
        <w:rPr>
          <w:rFonts w:ascii="Calibri" w:hAnsi="Calibri"/>
          <w:color w:val="525866"/>
          <w:sz w:val="22"/>
        </w:rPr>
        <w:t>Note: Only commentary about Q2 2026 market conditions or forward-looking statements made after Q1 2026 earnings is included below. Q1 2026 results commentary (i.e., peers discussing their own Q1 performance) is excluded.</w:t>
      </w:r>
    </w:p>
    <w:p>
      <w:pPr>
        <w:pStyle w:val="Heading3"/>
      </w:pPr>
      <w:r>
        <w:rPr>
          <w:rFonts w:ascii="Calibri" w:hAnsi="Calibri"/>
          <w:b/>
          <w:color w:val="3B4259"/>
          <w:sz w:val="24"/>
        </w:rPr>
        <w:t>RenaissanceRe (RNR) — Q2 2026 Earnings (Reported July 22–23, 2026)</w:t>
      </w:r>
    </w:p>
    <w:p>
      <w:r>
        <w:rPr>
          <w:rFonts w:ascii="Calibri" w:hAnsi="Calibri"/>
          <w:color w:val="525866"/>
          <w:sz w:val="22"/>
        </w:rPr>
        <w:t>Most directly relevant peer: RNR is a pure-play reinsurer with significant property cat and casualty reinsurance exposure, making it the highest-quality read-through for ACGL's reinsurance segment.</w:t>
      </w:r>
    </w:p>
    <w:p>
      <w:pPr>
        <w:pStyle w:val="ListBullet"/>
        <w:ind w:left="360" w:hanging="360"/>
      </w:pPr>
      <w:r>
        <w:rPr>
          <w:rFonts w:ascii="Calibri" w:hAnsi="Calibri"/>
          <w:b/>
          <w:color w:val="525866"/>
          <w:sz w:val="22"/>
        </w:rPr>
        <w:t xml:space="preserve">Property Cat Rates Down High-Teens at Mid-Year: </w:t>
      </w:r>
      <w:r>
        <w:rPr>
          <w:rFonts w:ascii="Calibri" w:hAnsi="Calibri"/>
          <w:color w:val="525866"/>
          <w:sz w:val="22"/>
        </w:rPr>
        <w:t xml:space="preserve">RNR confirmed property catastrophe rates were "down high teens" at the mid-year renewals, "consistent with our expectations." This validates ACGL's Q1 guidance that mid-year would be competitive. Importantly, RNR characterized this as a "changing market, not a soft market" — rates remain broadly adequate given the 2023 step-change reset. </w:t>
      </w:r>
    </w:p>
    <w:p>
      <w:pPr>
        <w:pStyle w:val="ListBullet"/>
        <w:ind w:left="360" w:hanging="360"/>
      </w:pPr>
      <w:r>
        <w:rPr>
          <w:rFonts w:ascii="Calibri" w:hAnsi="Calibri"/>
          <w:b/>
          <w:color w:val="525866"/>
          <w:sz w:val="22"/>
        </w:rPr>
        <w:t xml:space="preserve">Property Cat Gross Premiums Written Down 14% (ex-reinstatements): </w:t>
      </w:r>
      <w:r>
        <w:rPr>
          <w:rFonts w:ascii="Calibri" w:hAnsi="Calibri"/>
          <w:color w:val="525866"/>
          <w:sz w:val="22"/>
        </w:rPr>
        <w:t xml:space="preserve">RNR's property cat GPW fell 14% YoY (ex-reinstatements) at mid-year, driven by rate reductions partially offset by growth opportunities. RNR grew U.S. property cat limit by $600M at mid-year by focusing on nationwide accounts and California programs. This suggests disciplined players can still grow selectively — a potential positive read for ACGL's Florida and peak-zone retention strategy. </w:t>
      </w:r>
    </w:p>
    <w:p>
      <w:pPr>
        <w:pStyle w:val="ListBullet"/>
        <w:ind w:left="360" w:hanging="360"/>
      </w:pPr>
      <w:r>
        <w:rPr>
          <w:rFonts w:ascii="Calibri" w:hAnsi="Calibri"/>
          <w:b/>
          <w:color w:val="525866"/>
          <w:sz w:val="22"/>
        </w:rPr>
        <w:t xml:space="preserve">Casualty &amp; Specialty GPW Down 15%; Adverse Development in Casualty: </w:t>
      </w:r>
      <w:r>
        <w:rPr>
          <w:rFonts w:ascii="Calibri" w:hAnsi="Calibri"/>
          <w:color w:val="525866"/>
          <w:sz w:val="22"/>
        </w:rPr>
        <w:t xml:space="preserve">RNR's casualty and specialty segment saw GPW decline 15% YoY, driven by proactive exposure reductions in general casualty, professional liability, and cyber. The segment reported a combined ratio of 103.3% (vs. 101.8% in Q2 2025), including $54M of adverse development from the Baltimore Bridge collapse reclassification. Excluding the bridge, the adjusted combined ratio was in the high 90s — consistent with guidance. This is a mild negative read for ACGL's casualty reinsurance book, though ACGL's exposure to the Baltimore Bridge is likely limited. </w:t>
      </w:r>
    </w:p>
    <w:p>
      <w:pPr>
        <w:pStyle w:val="ListBullet"/>
        <w:ind w:left="360" w:hanging="360"/>
      </w:pPr>
      <w:r>
        <w:rPr>
          <w:rFonts w:ascii="Calibri" w:hAnsi="Calibri"/>
          <w:b/>
          <w:color w:val="525866"/>
          <w:sz w:val="22"/>
        </w:rPr>
        <w:t xml:space="preserve">Cyber Rate Pressure: </w:t>
      </w:r>
      <w:r>
        <w:rPr>
          <w:rFonts w:ascii="Calibri" w:hAnsi="Calibri"/>
          <w:color w:val="525866"/>
          <w:sz w:val="22"/>
        </w:rPr>
        <w:t xml:space="preserve">RNR cited "rate pressure in cyber" as a driver of premium estimate changes in the other specialty class. This is consistent with ACGL management's Q1 commentary characterizing cyber as "approximately mid-cycle" and approaching a more cautious phase. </w:t>
      </w:r>
    </w:p>
    <w:p>
      <w:pPr>
        <w:pStyle w:val="ListBullet"/>
        <w:ind w:left="360" w:hanging="360"/>
      </w:pPr>
      <w:r>
        <w:rPr>
          <w:rFonts w:ascii="Calibri" w:hAnsi="Calibri"/>
          <w:b/>
          <w:color w:val="525866"/>
          <w:sz w:val="22"/>
        </w:rPr>
        <w:t xml:space="preserve">Casualty Sidecars: Negligible Market Impact So Far: </w:t>
      </w:r>
      <w:r>
        <w:rPr>
          <w:rFonts w:ascii="Calibri" w:hAnsi="Calibri"/>
          <w:color w:val="525866"/>
          <w:sz w:val="22"/>
        </w:rPr>
        <w:t xml:space="preserve">RNR's CEO stated that private credit funds entering casualty reinsurance via sidecar vehicles "haven't moved the market at this point in time" and their impact has been "negligible." This is a mild positive read-through for ACGL, which flagged casualty sidecars as a near-term headwind on ceding commissions at Q1. </w:t>
      </w:r>
    </w:p>
    <w:p>
      <w:pPr>
        <w:pStyle w:val="ListBullet"/>
        <w:ind w:left="360" w:hanging="360"/>
      </w:pPr>
      <w:r>
        <w:rPr>
          <w:rFonts w:ascii="Calibri" w:hAnsi="Calibri"/>
          <w:b/>
          <w:color w:val="525866"/>
          <w:sz w:val="22"/>
        </w:rPr>
        <w:t xml:space="preserve">Strong Consolidated Combined Ratio of 72.8%: </w:t>
      </w:r>
      <w:r>
        <w:rPr>
          <w:rFonts w:ascii="Calibri" w:hAnsi="Calibri"/>
          <w:color w:val="525866"/>
          <w:sz w:val="22"/>
        </w:rPr>
        <w:t xml:space="preserve">RNR's consolidated combined ratio improved to 72.8% (from 75.1% in Q2 2025), driven by low cat losses and favorable prior year development of $199M in property. This benign cat environment is a direct positive read-through for ACGL's Q2 cat load. </w:t>
      </w:r>
    </w:p>
    <w:p>
      <w:pPr>
        <w:pStyle w:val="ListBullet"/>
        <w:ind w:left="360" w:hanging="360"/>
      </w:pPr>
      <w:r>
        <w:rPr>
          <w:rFonts w:ascii="Calibri" w:hAnsi="Calibri"/>
          <w:b/>
          <w:color w:val="525866"/>
          <w:sz w:val="22"/>
        </w:rPr>
        <w:t xml:space="preserve">Q3 2026 Guidance from RNR: </w:t>
      </w:r>
      <w:r>
        <w:rPr>
          <w:rFonts w:ascii="Calibri" w:hAnsi="Calibri"/>
          <w:color w:val="525866"/>
          <w:sz w:val="22"/>
        </w:rPr>
        <w:t xml:space="preserve">RNR guided Q3 casualty &amp; specialty net premiums earned of ~$1.3B with an adjusted combined ratio in the high 90s, and other property net premiums earned of ~$330M with an attritional loss ratio in the mid-50s. This provides a useful benchmark for ACGL's reinsurance segment trajectory. </w:t>
      </w:r>
    </w:p>
    <w:p>
      <w:pPr>
        <w:pStyle w:val="Heading3"/>
      </w:pPr>
      <w:r>
        <w:rPr>
          <w:rFonts w:ascii="Calibri" w:hAnsi="Calibri"/>
          <w:b/>
          <w:color w:val="3B4259"/>
          <w:sz w:val="24"/>
        </w:rPr>
        <w:t>Hamilton Insurance Group (HG) — Q1 2026 Earnings (Reported May 1, 2026) — Q2 Outlook Commentary</w:t>
      </w:r>
    </w:p>
    <w:p>
      <w:r>
        <w:rPr>
          <w:rFonts w:ascii="Calibri" w:hAnsi="Calibri"/>
          <w:color w:val="525866"/>
          <w:sz w:val="22"/>
        </w:rPr>
        <w:t>Relevant for: ACGL's property reinsurance and specialty insurance segments; HG is a Bermuda-based specialty insurer/reinsurer with overlapping lines.</w:t>
      </w:r>
    </w:p>
    <w:p>
      <w:pPr>
        <w:pStyle w:val="ListBullet"/>
        <w:ind w:left="360" w:hanging="360"/>
      </w:pPr>
      <w:r>
        <w:rPr>
          <w:rFonts w:ascii="Calibri" w:hAnsi="Calibri"/>
          <w:b/>
          <w:color w:val="525866"/>
          <w:sz w:val="22"/>
        </w:rPr>
        <w:t xml:space="preserve">Mid-Year Property Cat Pricing: "More of the Same": </w:t>
      </w:r>
      <w:r>
        <w:rPr>
          <w:rFonts w:ascii="Calibri" w:hAnsi="Calibri"/>
          <w:color w:val="525866"/>
          <w:sz w:val="22"/>
        </w:rPr>
        <w:t xml:space="preserve">HG management stated they expect mid-year pricing to be "more of the same" as Q1, with terms, conditions, and attachment points "largely holding." They noted softening is "coming off historic highs" so margins remain above thresholds. This is consistent with ACGL's Q1 guidance and suggests no incremental negative surprise at mid-year. </w:t>
      </w:r>
    </w:p>
    <w:p>
      <w:pPr>
        <w:pStyle w:val="ListBullet"/>
        <w:ind w:left="360" w:hanging="360"/>
      </w:pPr>
      <w:r>
        <w:rPr>
          <w:rFonts w:ascii="Calibri" w:hAnsi="Calibri"/>
          <w:b/>
          <w:color w:val="525866"/>
          <w:sz w:val="22"/>
        </w:rPr>
        <w:t xml:space="preserve">Florida (6/1) and National Accounts (7/1): Selective Approach: </w:t>
      </w:r>
      <w:r>
        <w:rPr>
          <w:rFonts w:ascii="Calibri" w:hAnsi="Calibri"/>
          <w:color w:val="525866"/>
          <w:sz w:val="22"/>
        </w:rPr>
        <w:t xml:space="preserve">HG noted Florida is not a large part of their portfolio and they use their third-party capital arm (Ada Re) for Florida renewals. For 7/1 national accounts, HG is focused on key clients with broad trading relationships. HG is "not chasing lower layers" or aggregate covers. This mirrors ACGL's zone-by-zone approach and selective retention of Florida business at attractive returns. </w:t>
      </w:r>
    </w:p>
    <w:p>
      <w:pPr>
        <w:pStyle w:val="ListBullet"/>
        <w:ind w:left="360" w:hanging="360"/>
      </w:pPr>
      <w:r>
        <w:rPr>
          <w:rFonts w:ascii="Calibri" w:hAnsi="Calibri"/>
          <w:b/>
          <w:color w:val="525866"/>
          <w:sz w:val="22"/>
        </w:rPr>
        <w:t xml:space="preserve">Casualty Reinsurance Sidecar Launched: </w:t>
      </w:r>
      <w:r>
        <w:rPr>
          <w:rFonts w:ascii="Calibri" w:hAnsi="Calibri"/>
          <w:color w:val="525866"/>
          <w:sz w:val="22"/>
        </w:rPr>
        <w:t xml:space="preserve">HG announced a casualty reinsurance sidecar with ~$300M of ceded premium over its duration, beginning Q1 2026. This is the type of sidecar vehicle ACGL management flagged as a near-term headwind on ceding commissions. HG's launch confirms the trend is real, though RNR's commentary suggests market impact remains limited. </w:t>
      </w:r>
    </w:p>
    <w:p>
      <w:pPr>
        <w:pStyle w:val="ListBullet"/>
        <w:ind w:left="360" w:hanging="360"/>
      </w:pPr>
      <w:r>
        <w:rPr>
          <w:rFonts w:ascii="Calibri" w:hAnsi="Calibri"/>
          <w:b/>
          <w:color w:val="525866"/>
          <w:sz w:val="22"/>
        </w:rPr>
        <w:t xml:space="preserve">Iran/Middle East Conflict: Manageable Exposure: </w:t>
      </w:r>
      <w:r>
        <w:rPr>
          <w:rFonts w:ascii="Calibri" w:hAnsi="Calibri"/>
          <w:color w:val="525866"/>
          <w:sz w:val="22"/>
        </w:rPr>
        <w:t xml:space="preserve">HG noted losses from political violence, terror, and marine lines out of Lloyd's in Q1, but exposures did not meet their $10M large loss threshold. Going forward, HG expects to include these losses in the catastrophe loss line. This is a useful calibration for ACGL's Q2 Iran conflict loss disclosure — HG's manageable exposure suggests the industry loss is concentrated in a few large specialty writers. </w:t>
      </w:r>
    </w:p>
    <w:p>
      <w:pPr>
        <w:pStyle w:val="ListBullet"/>
        <w:ind w:left="360" w:hanging="360"/>
      </w:pPr>
      <w:r>
        <w:rPr>
          <w:rFonts w:ascii="Calibri" w:hAnsi="Calibri"/>
          <w:b/>
          <w:color w:val="525866"/>
          <w:sz w:val="22"/>
        </w:rPr>
        <w:t xml:space="preserve">E&amp;S Casualty Growing 17% at Hamilton Select: </w:t>
      </w:r>
      <w:r>
        <w:rPr>
          <w:rFonts w:ascii="Calibri" w:hAnsi="Calibri"/>
          <w:color w:val="525866"/>
          <w:sz w:val="22"/>
        </w:rPr>
        <w:t xml:space="preserve">HG's U.S. E&amp;S casualty platform (Hamilton Select) grew 17% in Q1, driven by excess casualty, general casualty, and small business. This is a positive read-through for ACGL's E&amp;S casualty lines, which management highlighted as a growth area at Q1 earnings. </w:t>
      </w:r>
    </w:p>
    <w:p>
      <w:pPr>
        <w:pStyle w:val="Heading3"/>
      </w:pPr>
      <w:r>
        <w:rPr>
          <w:rFonts w:ascii="Calibri" w:hAnsi="Calibri"/>
          <w:b/>
          <w:color w:val="3B4259"/>
          <w:sz w:val="24"/>
        </w:rPr>
        <w:t>SiriusPoint (SPNT) — Q1 2026 Earnings (Reported May 7–8, 2026) — Q2 / Full-Year Outlook Commentary</w:t>
      </w:r>
    </w:p>
    <w:p>
      <w:r>
        <w:rPr>
          <w:rFonts w:ascii="Calibri" w:hAnsi="Calibri"/>
          <w:color w:val="525866"/>
          <w:sz w:val="22"/>
        </w:rPr>
        <w:t>Relevant for: ACGL's specialty insurance and reinsurance segments; SPNT is a smaller specialty reinsurer with overlapping casualty and property lines.</w:t>
      </w:r>
    </w:p>
    <w:p>
      <w:pPr>
        <w:pStyle w:val="ListBullet"/>
        <w:ind w:left="360" w:hanging="360"/>
      </w:pPr>
      <w:r>
        <w:rPr>
          <w:rFonts w:ascii="Calibri" w:hAnsi="Calibri"/>
          <w:b/>
          <w:color w:val="525866"/>
          <w:sz w:val="22"/>
        </w:rPr>
        <w:t xml:space="preserve">Full-Year GWP Growth Guided 5–10%; H2 Weighted: </w:t>
      </w:r>
      <w:r>
        <w:rPr>
          <w:rFonts w:ascii="Calibri" w:hAnsi="Calibri"/>
          <w:color w:val="525866"/>
          <w:sz w:val="22"/>
        </w:rPr>
        <w:t xml:space="preserve">SPNT guided full-year gross written premium growth of 5-10%, with growth more weighted to H2 driven by a shift from reinsurance to insurance. SPNT noted Q1 was "probably the most extreme shrinkage" in reinsurance due to property cat 1/1 renewals. This suggests the reinsurance market headwinds are front-loaded in 2026 — a mild positive read for ACGL's H2 trajectory. </w:t>
      </w:r>
    </w:p>
    <w:p>
      <w:pPr>
        <w:pStyle w:val="ListBullet"/>
        <w:ind w:left="360" w:hanging="360"/>
      </w:pPr>
      <w:r>
        <w:rPr>
          <w:rFonts w:ascii="Calibri" w:hAnsi="Calibri"/>
          <w:b/>
          <w:color w:val="525866"/>
          <w:sz w:val="22"/>
        </w:rPr>
        <w:t xml:space="preserve">Property Cat Reinsurance Rates Down ~15%; Deliberate Pullback: </w:t>
      </w:r>
      <w:r>
        <w:rPr>
          <w:rFonts w:ascii="Calibri" w:hAnsi="Calibri"/>
          <w:color w:val="525866"/>
          <w:sz w:val="22"/>
        </w:rPr>
        <w:t xml:space="preserve">SPNT reported property cat reinsurance rates down ~15% in Q1, with GPW in that segment declining 31% as they deliberately pulled back. This is consistent with ACGL's guidance of double-digit rate declines and confirms the competitive environment. </w:t>
      </w:r>
    </w:p>
    <w:p>
      <w:pPr>
        <w:pStyle w:val="ListBullet"/>
        <w:ind w:left="360" w:hanging="360"/>
      </w:pPr>
      <w:r>
        <w:rPr>
          <w:rFonts w:ascii="Calibri" w:hAnsi="Calibri"/>
          <w:b/>
          <w:color w:val="525866"/>
          <w:sz w:val="22"/>
        </w:rPr>
        <w:t xml:space="preserve">General Liability: Mixed Conditions, Cautious Underwriting: </w:t>
      </w:r>
      <w:r>
        <w:rPr>
          <w:rFonts w:ascii="Calibri" w:hAnsi="Calibri"/>
          <w:color w:val="525866"/>
          <w:sz w:val="22"/>
        </w:rPr>
        <w:t xml:space="preserve">SPNT described general liability conditions as "mixed" with intensifying competition in E&amp;S and early softening in terms and conditions. Primary and umbrella pricing remains technically adequate; excess casualty continues to achieve double-digit rate increases above loss cost trends. This is broadly consistent with ACGL's characterization of casualty as still attractive in specialty/E&amp;S lines. </w:t>
      </w:r>
    </w:p>
    <w:p>
      <w:pPr>
        <w:pStyle w:val="ListBullet"/>
        <w:ind w:left="360" w:hanging="360"/>
      </w:pPr>
      <w:r>
        <w:rPr>
          <w:rFonts w:ascii="Calibri" w:hAnsi="Calibri"/>
          <w:b/>
          <w:color w:val="525866"/>
          <w:sz w:val="22"/>
        </w:rPr>
        <w:t xml:space="preserve">Cyber: Rate Pressure Emerging: </w:t>
      </w:r>
      <w:r>
        <w:rPr>
          <w:rFonts w:ascii="Calibri" w:hAnsi="Calibri"/>
          <w:color w:val="525866"/>
          <w:sz w:val="22"/>
        </w:rPr>
        <w:t xml:space="preserve">SPNT did not call out cyber specifically in its Q2 outlook, but noted financial and professional lines remain competitive. Combined with RNR's explicit cyber rate pressure commentary, this reinforces the cautious view on cyber that ACGL management expressed at Q1. </w:t>
      </w:r>
    </w:p>
    <w:p>
      <w:pPr>
        <w:pStyle w:val="ListBullet"/>
        <w:ind w:left="360" w:hanging="360"/>
      </w:pPr>
      <w:r>
        <w:rPr>
          <w:rFonts w:ascii="Calibri" w:hAnsi="Calibri"/>
          <w:b/>
          <w:color w:val="525866"/>
          <w:sz w:val="22"/>
        </w:rPr>
        <w:t xml:space="preserve">Benign Cat Activity: Strong Q1 Underwriting: </w:t>
      </w:r>
      <w:r>
        <w:rPr>
          <w:rFonts w:ascii="Calibri" w:hAnsi="Calibri"/>
          <w:color w:val="525866"/>
          <w:sz w:val="22"/>
        </w:rPr>
        <w:t xml:space="preserve">SPNT's core combined ratio improved 6.5 points to 88.9% in Q1, driven primarily by lower catastrophe activity (cat losses were $63M lower YoY, representing just 0.8 points on the combined ratio vs. 10.9 points in Q1 2025). This benign cat environment is a direct positive read-through for ACGL's Q2 cat load, assuming the trend continues. </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Theme</w:t>
            </w:r>
          </w:p>
        </w:tc>
        <w:tc>
          <w:tcPr>
            <w:tcW w:type="dxa" w:w="2160"/>
          </w:tcPr>
          <w:p>
            <w:r>
              <w:rPr>
                <w:rFonts w:ascii="Calibri" w:hAnsi="Calibri"/>
                <w:b/>
                <w:sz w:val="22"/>
              </w:rPr>
              <w:t>Peer Signal</w:t>
            </w:r>
          </w:p>
        </w:tc>
        <w:tc>
          <w:tcPr>
            <w:tcW w:type="dxa" w:w="2160"/>
          </w:tcPr>
          <w:p>
            <w:r>
              <w:rPr>
                <w:rFonts w:ascii="Calibri" w:hAnsi="Calibri"/>
                <w:b/>
                <w:sz w:val="22"/>
              </w:rPr>
              <w:t>ACGL Implication</w:t>
            </w:r>
          </w:p>
        </w:tc>
        <w:tc>
          <w:tcPr>
            <w:tcW w:type="dxa" w:w="2160"/>
          </w:tcPr>
          <w:p>
            <w:r>
              <w:rPr>
                <w:rFonts w:ascii="Calibri" w:hAnsi="Calibri"/>
                <w:b/>
                <w:sz w:val="22"/>
              </w:rPr>
              <w:t>Direction</w:t>
            </w:r>
          </w:p>
        </w:tc>
      </w:tr>
      <w:tr>
        <w:tc>
          <w:tcPr>
            <w:tcW w:type="dxa" w:w="2160"/>
          </w:tcPr>
          <w:p>
            <w:r>
              <w:rPr>
                <w:rFonts w:ascii="Calibri" w:hAnsi="Calibri"/>
                <w:sz w:val="22"/>
              </w:rPr>
              <w:t>Property Cat Rates at Mid-Year</w:t>
            </w:r>
          </w:p>
        </w:tc>
        <w:tc>
          <w:tcPr>
            <w:tcW w:type="dxa" w:w="2160"/>
          </w:tcPr>
          <w:p>
            <w:r>
              <w:rPr>
                <w:rFonts w:ascii="Calibri" w:hAnsi="Calibri"/>
                <w:sz w:val="22"/>
              </w:rPr>
              <w:t>RNR: down high-teens; HG: "more of the same"; SPNT: down ~15%</w:t>
            </w:r>
          </w:p>
        </w:tc>
        <w:tc>
          <w:tcPr>
            <w:tcW w:type="dxa" w:w="2160"/>
          </w:tcPr>
          <w:p>
            <w:r>
              <w:rPr>
                <w:rFonts w:ascii="Calibri" w:hAnsi="Calibri"/>
                <w:sz w:val="22"/>
              </w:rPr>
              <w:t>Consistent with ACGL Q1 guidance; no incremental negative surprise</w:t>
            </w:r>
          </w:p>
        </w:tc>
        <w:tc>
          <w:tcPr>
            <w:tcW w:type="dxa" w:w="2160"/>
          </w:tcPr>
          <w:p>
            <w:r>
              <w:rPr>
                <w:rFonts w:ascii="Calibri" w:hAnsi="Calibri"/>
                <w:b/>
                <w:sz w:val="22"/>
              </w:rPr>
              <w:t>Neutral</w:t>
            </w:r>
          </w:p>
        </w:tc>
      </w:tr>
      <w:tr>
        <w:tc>
          <w:tcPr>
            <w:tcW w:type="dxa" w:w="2160"/>
          </w:tcPr>
          <w:p>
            <w:r>
              <w:rPr>
                <w:rFonts w:ascii="Calibri" w:hAnsi="Calibri"/>
                <w:sz w:val="22"/>
              </w:rPr>
              <w:t>Cat Activity (Q2 2026)</w:t>
            </w:r>
          </w:p>
        </w:tc>
        <w:tc>
          <w:tcPr>
            <w:tcW w:type="dxa" w:w="2160"/>
          </w:tcPr>
          <w:p>
            <w:r>
              <w:rPr>
                <w:rFonts w:ascii="Calibri" w:hAnsi="Calibri"/>
                <w:sz w:val="22"/>
              </w:rPr>
              <w:t>RNR: strong combined ratio of 72.8%; low cat losses; SPNT Q1: benign cat</w:t>
            </w:r>
          </w:p>
        </w:tc>
        <w:tc>
          <w:tcPr>
            <w:tcW w:type="dxa" w:w="2160"/>
          </w:tcPr>
          <w:p>
            <w:r>
              <w:rPr>
                <w:rFonts w:ascii="Calibri" w:hAnsi="Calibri"/>
                <w:sz w:val="22"/>
              </w:rPr>
              <w:t>Positive read for ACGL Q2 cat load; supports EPS beat potential</w:t>
            </w:r>
          </w:p>
        </w:tc>
        <w:tc>
          <w:tcPr>
            <w:tcW w:type="dxa" w:w="2160"/>
          </w:tcPr>
          <w:p>
            <w:r>
              <w:rPr>
                <w:rFonts w:ascii="Calibri" w:hAnsi="Calibri"/>
                <w:b/>
                <w:color w:val="30A46C"/>
                <w:sz w:val="22"/>
              </w:rPr>
              <w:t>Positive</w:t>
            </w:r>
          </w:p>
        </w:tc>
      </w:tr>
      <w:tr>
        <w:tc>
          <w:tcPr>
            <w:tcW w:type="dxa" w:w="2160"/>
          </w:tcPr>
          <w:p>
            <w:r>
              <w:rPr>
                <w:rFonts w:ascii="Calibri" w:hAnsi="Calibri"/>
                <w:sz w:val="22"/>
              </w:rPr>
              <w:t>Casualty Reinsurance / Ceding Commissions</w:t>
            </w:r>
          </w:p>
        </w:tc>
        <w:tc>
          <w:tcPr>
            <w:tcW w:type="dxa" w:w="2160"/>
          </w:tcPr>
          <w:p>
            <w:r>
              <w:rPr>
                <w:rFonts w:ascii="Calibri" w:hAnsi="Calibri"/>
                <w:sz w:val="22"/>
              </w:rPr>
              <w:t>RNR: increased cession rates; casualty GPW down 15%; HG: sidecar launched</w:t>
            </w:r>
          </w:p>
        </w:tc>
        <w:tc>
          <w:tcPr>
            <w:tcW w:type="dxa" w:w="2160"/>
          </w:tcPr>
          <w:p>
            <w:r>
              <w:rPr>
                <w:rFonts w:ascii="Calibri" w:hAnsi="Calibri"/>
                <w:sz w:val="22"/>
              </w:rPr>
              <w:t>Confirms ceding commission pressure; ACGL's casualty reinsurance NPW likely under pressure</w:t>
            </w:r>
          </w:p>
        </w:tc>
        <w:tc>
          <w:tcPr>
            <w:tcW w:type="dxa" w:w="2160"/>
          </w:tcPr>
          <w:p>
            <w:r>
              <w:rPr>
                <w:rFonts w:ascii="Calibri" w:hAnsi="Calibri"/>
                <w:b/>
                <w:color w:val="E5484D"/>
                <w:sz w:val="22"/>
              </w:rPr>
              <w:t>Negative</w:t>
            </w:r>
          </w:p>
        </w:tc>
      </w:tr>
      <w:tr>
        <w:tc>
          <w:tcPr>
            <w:tcW w:type="dxa" w:w="2160"/>
          </w:tcPr>
          <w:p>
            <w:r>
              <w:rPr>
                <w:rFonts w:ascii="Calibri" w:hAnsi="Calibri"/>
                <w:sz w:val="22"/>
              </w:rPr>
              <w:t>Casualty Sidecar Market Impact</w:t>
            </w:r>
          </w:p>
        </w:tc>
        <w:tc>
          <w:tcPr>
            <w:tcW w:type="dxa" w:w="2160"/>
          </w:tcPr>
          <w:p>
            <w:r>
              <w:rPr>
                <w:rFonts w:ascii="Calibri" w:hAnsi="Calibri"/>
                <w:sz w:val="22"/>
              </w:rPr>
              <w:t>RNR: impact "negligible" so far; HG: launched $300M sidecar</w:t>
            </w:r>
          </w:p>
        </w:tc>
        <w:tc>
          <w:tcPr>
            <w:tcW w:type="dxa" w:w="2160"/>
          </w:tcPr>
          <w:p>
            <w:r>
              <w:rPr>
                <w:rFonts w:ascii="Calibri" w:hAnsi="Calibri"/>
                <w:sz w:val="22"/>
              </w:rPr>
              <w:t>Near-term headwind confirmed but not yet market-moving; ACGL's concern is valid but not acute</w:t>
            </w:r>
          </w:p>
        </w:tc>
        <w:tc>
          <w:tcPr>
            <w:tcW w:type="dxa" w:w="2160"/>
          </w:tcPr>
          <w:p>
            <w:r>
              <w:rPr>
                <w:rFonts w:ascii="Calibri" w:hAnsi="Calibri"/>
                <w:b/>
                <w:sz w:val="22"/>
              </w:rPr>
              <w:t>Neutral</w:t>
            </w:r>
          </w:p>
        </w:tc>
      </w:tr>
      <w:tr>
        <w:tc>
          <w:tcPr>
            <w:tcW w:type="dxa" w:w="2160"/>
          </w:tcPr>
          <w:p>
            <w:r>
              <w:rPr>
                <w:rFonts w:ascii="Calibri" w:hAnsi="Calibri"/>
                <w:sz w:val="22"/>
              </w:rPr>
              <w:t>Cyber Rate Pressure</w:t>
            </w:r>
          </w:p>
        </w:tc>
        <w:tc>
          <w:tcPr>
            <w:tcW w:type="dxa" w:w="2160"/>
          </w:tcPr>
          <w:p>
            <w:r>
              <w:rPr>
                <w:rFonts w:ascii="Calibri" w:hAnsi="Calibri"/>
                <w:sz w:val="22"/>
              </w:rPr>
              <w:t>RNR: explicit rate pressure in cyber; SPNT: competitive financial/professional lines</w:t>
            </w:r>
          </w:p>
        </w:tc>
        <w:tc>
          <w:tcPr>
            <w:tcW w:type="dxa" w:w="2160"/>
          </w:tcPr>
          <w:p>
            <w:r>
              <w:rPr>
                <w:rFonts w:ascii="Calibri" w:hAnsi="Calibri"/>
                <w:sz w:val="22"/>
              </w:rPr>
              <w:t>Consistent with ACGL's mid-cycle caution on cyber; no incremental surprise</w:t>
            </w:r>
          </w:p>
        </w:tc>
        <w:tc>
          <w:tcPr>
            <w:tcW w:type="dxa" w:w="2160"/>
          </w:tcPr>
          <w:p>
            <w:r>
              <w:rPr>
                <w:rFonts w:ascii="Calibri" w:hAnsi="Calibri"/>
                <w:b/>
                <w:sz w:val="22"/>
              </w:rPr>
              <w:t>Neutral</w:t>
            </w:r>
          </w:p>
        </w:tc>
      </w:tr>
      <w:tr>
        <w:tc>
          <w:tcPr>
            <w:tcW w:type="dxa" w:w="2160"/>
          </w:tcPr>
          <w:p>
            <w:r>
              <w:rPr>
                <w:rFonts w:ascii="Calibri" w:hAnsi="Calibri"/>
                <w:sz w:val="22"/>
              </w:rPr>
              <w:t>E&amp;S Casualty Growth</w:t>
            </w:r>
          </w:p>
        </w:tc>
        <w:tc>
          <w:tcPr>
            <w:tcW w:type="dxa" w:w="2160"/>
          </w:tcPr>
          <w:p>
            <w:r>
              <w:rPr>
                <w:rFonts w:ascii="Calibri" w:hAnsi="Calibri"/>
                <w:sz w:val="22"/>
              </w:rPr>
              <w:t>HG Select: +17% E&amp;S casualty; SPNT: excess casualty still double-digit rate increases</w:t>
            </w:r>
          </w:p>
        </w:tc>
        <w:tc>
          <w:tcPr>
            <w:tcW w:type="dxa" w:w="2160"/>
          </w:tcPr>
          <w:p>
            <w:r>
              <w:rPr>
                <w:rFonts w:ascii="Calibri" w:hAnsi="Calibri"/>
                <w:sz w:val="22"/>
              </w:rPr>
              <w:t>Positive read for ACGL's E&amp;S casualty and specialty lines; growth opportunity intact</w:t>
            </w:r>
          </w:p>
        </w:tc>
        <w:tc>
          <w:tcPr>
            <w:tcW w:type="dxa" w:w="2160"/>
          </w:tcPr>
          <w:p>
            <w:r>
              <w:rPr>
                <w:rFonts w:ascii="Calibri" w:hAnsi="Calibri"/>
                <w:b/>
                <w:color w:val="30A46C"/>
                <w:sz w:val="22"/>
              </w:rPr>
              <w:t>Positive</w:t>
            </w:r>
          </w:p>
        </w:tc>
      </w:tr>
      <w:tr>
        <w:tc>
          <w:tcPr>
            <w:tcW w:type="dxa" w:w="2160"/>
          </w:tcPr>
          <w:p>
            <w:r>
              <w:rPr>
                <w:rFonts w:ascii="Calibri" w:hAnsi="Calibri"/>
                <w:sz w:val="22"/>
              </w:rPr>
              <w:t>Iran/Middle East Losses</w:t>
            </w:r>
          </w:p>
        </w:tc>
        <w:tc>
          <w:tcPr>
            <w:tcW w:type="dxa" w:w="2160"/>
          </w:tcPr>
          <w:p>
            <w:r>
              <w:rPr>
                <w:rFonts w:ascii="Calibri" w:hAnsi="Calibri"/>
                <w:sz w:val="22"/>
              </w:rPr>
              <w:t>HG: manageable exposure; losses in political violence/terror/marine out of Lloyd's</w:t>
            </w:r>
          </w:p>
        </w:tc>
        <w:tc>
          <w:tcPr>
            <w:tcW w:type="dxa" w:w="2160"/>
          </w:tcPr>
          <w:p>
            <w:r>
              <w:rPr>
                <w:rFonts w:ascii="Calibri" w:hAnsi="Calibri"/>
                <w:sz w:val="22"/>
              </w:rPr>
              <w:t>ACGL's Q2 Iran losses likely concentrated in London specialty book; HG's manageable exposure suggests no systemic industry shock</w:t>
            </w:r>
          </w:p>
        </w:tc>
        <w:tc>
          <w:tcPr>
            <w:tcW w:type="dxa" w:w="2160"/>
          </w:tcPr>
          <w:p>
            <w:r>
              <w:rPr>
                <w:rFonts w:ascii="Calibri" w:hAnsi="Calibri"/>
                <w:b/>
                <w:sz w:val="22"/>
              </w:rPr>
              <w:t>Neutral / Watch</w:t>
            </w:r>
          </w:p>
        </w:tc>
      </w:tr>
      <w:tr>
        <w:tc>
          <w:tcPr>
            <w:tcW w:type="dxa" w:w="2160"/>
          </w:tcPr>
          <w:p>
            <w:r>
              <w:rPr>
                <w:rFonts w:ascii="Calibri" w:hAnsi="Calibri"/>
                <w:sz w:val="22"/>
              </w:rPr>
              <w:t>Prior Year Development</w:t>
            </w:r>
          </w:p>
        </w:tc>
        <w:tc>
          <w:tcPr>
            <w:tcW w:type="dxa" w:w="2160"/>
          </w:tcPr>
          <w:p>
            <w:r>
              <w:rPr>
                <w:rFonts w:ascii="Calibri" w:hAnsi="Calibri"/>
                <w:sz w:val="22"/>
              </w:rPr>
              <w:t>RNR: $199M favorable PYD in property; $58M adverse in casualty (incl. Baltimore Bridge)</w:t>
            </w:r>
          </w:p>
        </w:tc>
        <w:tc>
          <w:tcPr>
            <w:tcW w:type="dxa" w:w="2160"/>
          </w:tcPr>
          <w:p>
            <w:r>
              <w:rPr>
                <w:rFonts w:ascii="Calibri" w:hAnsi="Calibri"/>
                <w:sz w:val="22"/>
              </w:rPr>
              <w:t>Favorable property PYD environment is a positive read; Baltimore Bridge adverse development is a watch item for ACGL's specialty book</w:t>
            </w:r>
          </w:p>
        </w:tc>
        <w:tc>
          <w:tcPr>
            <w:tcW w:type="dxa" w:w="2160"/>
          </w:tcPr>
          <w:p>
            <w:r>
              <w:rPr>
                <w:rFonts w:ascii="Calibri" w:hAnsi="Calibri"/>
                <w:b/>
                <w:sz w:val="22"/>
              </w:rPr>
              <w:t>Mixed</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leadership restructuring and CEO appointments (June 17)</w:t>
      </w:r>
      <w:r>
        <w:rPr>
          <w:rFonts w:ascii="Calibri" w:hAnsi="Calibri"/>
          <w:color w:val="525866"/>
          <w:sz w:val="22"/>
        </w:rPr>
        <w:t xml:space="preserve"> — elevating segment-level CEOs signals Arch is building for scale in reinsurance and mortgage, and the market reacted positively. The $2B debt offering is a secondary but meaningful capital structure event.</w:t>
      </w:r>
    </w:p>
    <w:p>
      <w:pPr>
        <w:pStyle w:val="ListBullet"/>
        <w:ind w:left="360" w:hanging="360"/>
      </w:pPr>
      <w:r>
        <w:rPr>
          <w:rFonts w:ascii="Calibri" w:hAnsi="Calibri"/>
          <w:b/>
          <w:color w:val="525866"/>
          <w:sz w:val="22"/>
        </w:rPr>
        <w:t xml:space="preserve">June 17, 2026 — Jerome Halgan Appointed CEO of Arch Global Reinsurance Group; Michael Schmeiser Appointed CEO of Arch Global Mortgage Group: </w:t>
      </w:r>
      <w:r>
        <w:rPr>
          <w:rFonts w:ascii="Calibri" w:hAnsi="Calibri"/>
          <w:color w:val="525866"/>
          <w:sz w:val="22"/>
        </w:rPr>
        <w:t xml:space="preserve">Arch promoted two long-tenured executives to segment CEO roles, both continuing to report to President Maamoun Rajeh. Halgan (joined 2009, previously President &amp; CUO of Arch Re Group) and Schmeiser (joined 2017, previously President &amp; CEO of Arch U.S. Mortgage) represent continuity of underwriting culture. </w:t>
      </w:r>
    </w:p>
    <w:p>
      <w:pPr>
        <w:pStyle w:val="ListBullet"/>
        <w:ind w:left="360" w:hanging="360"/>
      </w:pPr>
      <w:r>
        <w:rPr>
          <w:rFonts w:ascii="Calibri" w:hAnsi="Calibri"/>
          <w:b/>
          <w:i/>
          <w:color w:val="525866"/>
          <w:sz w:val="22"/>
        </w:rPr>
        <w:t xml:space="preserve">Implication: </w:t>
      </w:r>
      <w:r>
        <w:rPr>
          <w:rFonts w:ascii="Calibri" w:hAnsi="Calibri"/>
          <w:i/>
          <w:color w:val="525866"/>
          <w:sz w:val="22"/>
        </w:rPr>
        <w:t>Positive signal — the appointments reinforce Arch's underwriting-first culture and provide clearer accountability at the segment level as the company scales post-MidCorp integration. BofA raised its price target to $122 (from $121) on the news, maintaining Buy.</w:t>
      </w:r>
    </w:p>
    <w:p>
      <w:pPr>
        <w:pStyle w:val="ListBullet"/>
        <w:ind w:left="360" w:hanging="360"/>
      </w:pPr>
      <w:r>
        <w:rPr>
          <w:rFonts w:ascii="Calibri" w:hAnsi="Calibri"/>
          <w:b/>
          <w:color w:val="525866"/>
          <w:sz w:val="22"/>
        </w:rPr>
        <w:t xml:space="preserve">June 9, 2026 — Arch Completes $2 Billion Senior Notes Offering: </w:t>
      </w:r>
      <w:r>
        <w:rPr>
          <w:rFonts w:ascii="Calibri" w:hAnsi="Calibri"/>
          <w:color w:val="525866"/>
          <w:sz w:val="22"/>
        </w:rPr>
        <w:t xml:space="preserve">Arch priced $600M of 5.250% senior notes due 2036 and $1.4B of 5.950% senior notes due 2056. Proceeds were used to (i) redeem $500M of 4.011% notes due 2026, (ii) fund tender offers for $350M of 2043/2046 notes, and (iii) general corporate purposes. </w:t>
      </w:r>
    </w:p>
    <w:p>
      <w:pPr>
        <w:pStyle w:val="ListBullet"/>
        <w:ind w:left="360" w:hanging="360"/>
      </w:pPr>
      <w:r>
        <w:rPr>
          <w:rFonts w:ascii="Calibri" w:hAnsi="Calibri"/>
          <w:b/>
          <w:i/>
          <w:color w:val="525866"/>
          <w:sz w:val="22"/>
        </w:rPr>
        <w:t xml:space="preserve">Implication: </w:t>
      </w:r>
      <w:r>
        <w:rPr>
          <w:rFonts w:ascii="Calibri" w:hAnsi="Calibri"/>
          <w:i/>
          <w:color w:val="525866"/>
          <w:sz w:val="22"/>
        </w:rPr>
        <w:t>Neutral to slightly negative on interest expense in the near term (higher coupon on new notes vs. redeemed 2026 notes), but extends maturity profile and removes near-term refinancing risk. The $2B size is larger than the $350M tender offer cap, suggesting the balance may support future capital actions or M&amp;A optionality.</w:t>
      </w:r>
    </w:p>
    <w:p>
      <w:pPr>
        <w:pStyle w:val="ListBullet"/>
        <w:ind w:left="360" w:hanging="360"/>
      </w:pPr>
      <w:r>
        <w:rPr>
          <w:rFonts w:ascii="Calibri" w:hAnsi="Calibri"/>
          <w:b/>
          <w:color w:val="525866"/>
          <w:sz w:val="22"/>
        </w:rPr>
        <w:t xml:space="preserve">June 2–16, 2026 — Cash Tender Offers for 2043 and 2046 Senior Notes: </w:t>
      </w:r>
      <w:r>
        <w:rPr>
          <w:rFonts w:ascii="Calibri" w:hAnsi="Calibri"/>
          <w:color w:val="525866"/>
          <w:sz w:val="22"/>
        </w:rPr>
        <w:t xml:space="preserve">Arch launched and priced tender offers for up to $350M aggregate of its 5.144% Senior Notes due 2043 and 5.031% Senior Notes due 2046, with early settlement on June 18. The tender was funded by the $2B new notes offering. </w:t>
      </w:r>
    </w:p>
    <w:p>
      <w:pPr>
        <w:pStyle w:val="ListBullet"/>
        <w:ind w:left="360" w:hanging="360"/>
      </w:pPr>
      <w:r>
        <w:rPr>
          <w:rFonts w:ascii="Calibri" w:hAnsi="Calibri"/>
          <w:b/>
          <w:i/>
          <w:color w:val="525866"/>
          <w:sz w:val="22"/>
        </w:rPr>
        <w:t xml:space="preserve">Implication: </w:t>
      </w:r>
      <w:r>
        <w:rPr>
          <w:rFonts w:ascii="Calibri" w:hAnsi="Calibri"/>
          <w:i/>
          <w:color w:val="525866"/>
          <w:sz w:val="22"/>
        </w:rPr>
        <w:t>Liability management exercise; net effect is a shift in maturity and coupon profile. No material impact on underwriting operations.</w:t>
      </w:r>
    </w:p>
    <w:p>
      <w:pPr>
        <w:pStyle w:val="ListBullet"/>
        <w:ind w:left="360" w:hanging="360"/>
      </w:pPr>
      <w:r>
        <w:rPr>
          <w:rFonts w:ascii="Calibri" w:hAnsi="Calibri"/>
          <w:b/>
          <w:color w:val="525866"/>
          <w:sz w:val="22"/>
        </w:rPr>
        <w:t xml:space="preserve">June 3, 2026 — Leadership Restructuring Announced (Rajeh as President): </w:t>
      </w:r>
      <w:r>
        <w:rPr>
          <w:rFonts w:ascii="Calibri" w:hAnsi="Calibri"/>
          <w:color w:val="525866"/>
          <w:sz w:val="22"/>
        </w:rPr>
        <w:t xml:space="preserve">Arch announced a broader leadership consolidation under Maamoun Rajeh as President, setting the stage for the June 17 segment CEO appointments. </w:t>
      </w:r>
    </w:p>
    <w:p>
      <w:pPr>
        <w:pStyle w:val="ListBullet"/>
        <w:ind w:left="360" w:hanging="360"/>
      </w:pPr>
      <w:r>
        <w:rPr>
          <w:rFonts w:ascii="Calibri" w:hAnsi="Calibri"/>
          <w:b/>
          <w:i/>
          <w:color w:val="525866"/>
          <w:sz w:val="22"/>
        </w:rPr>
        <w:t xml:space="preserve">Implication: </w:t>
      </w:r>
      <w:r>
        <w:rPr>
          <w:rFonts w:ascii="Calibri" w:hAnsi="Calibri"/>
          <w:i/>
          <w:color w:val="525866"/>
          <w:sz w:val="22"/>
        </w:rPr>
        <w:t>Positive — clearer organizational structure as the company integrates MidCorp and manages through a transitioning market cycle.</w:t>
      </w:r>
    </w:p>
    <w:p>
      <w:pPr>
        <w:pStyle w:val="ListBullet"/>
        <w:ind w:left="360" w:hanging="360"/>
      </w:pPr>
      <w:r>
        <w:rPr>
          <w:rFonts w:ascii="Calibri" w:hAnsi="Calibri"/>
          <w:b/>
          <w:color w:val="525866"/>
          <w:sz w:val="22"/>
        </w:rPr>
        <w:t xml:space="preserve">April 29, 2026 (Post-Q1 Earnings) — Citigroup Raises Price Target to $122.50 (Buy): </w:t>
      </w:r>
      <w:r>
        <w:rPr>
          <w:rFonts w:ascii="Calibri" w:hAnsi="Calibri"/>
          <w:color w:val="525866"/>
          <w:sz w:val="22"/>
        </w:rPr>
        <w:t xml:space="preserve">Citi raised its PT from $120 to $122.50 following the Q1 print, maintaining a Buy rating despite the stock's 5% post-earnings decline. </w:t>
      </w:r>
    </w:p>
    <w:p>
      <w:pPr>
        <w:pStyle w:val="ListBullet"/>
        <w:ind w:left="360" w:hanging="360"/>
      </w:pPr>
      <w:r>
        <w:rPr>
          <w:rFonts w:ascii="Calibri" w:hAnsi="Calibri"/>
          <w:b/>
          <w:color w:val="525866"/>
          <w:sz w:val="22"/>
        </w:rPr>
        <w:t xml:space="preserve">July 6–9, 2026 — Multiple Analyst Price Target Increases Ahead of Q2: </w:t>
      </w:r>
      <w:r>
        <w:rPr>
          <w:rFonts w:ascii="Calibri" w:hAnsi="Calibri"/>
          <w:color w:val="525866"/>
          <w:sz w:val="22"/>
        </w:rPr>
        <w:t xml:space="preserve">Morgan Stanley raised PT to $110 (Overweight, July 6); Wells Fargo raised PT to $114 (Overweight, July 9); Mizuho raised PT to $104 (Neutral, July 9); KBW lowered PT to $99 (July 8). Consensus rating is "Hold" with average PT of ~$109-$113, implying modest upside from current ~$104. </w:t>
      </w:r>
    </w:p>
    <w:p>
      <w:pPr>
        <w:pStyle w:val="ListBullet"/>
        <w:ind w:left="360" w:hanging="360"/>
      </w:pPr>
      <w:r>
        <w:rPr>
          <w:rFonts w:ascii="Calibri" w:hAnsi="Calibri"/>
          <w:b/>
          <w:i/>
          <w:color w:val="525866"/>
          <w:sz w:val="22"/>
        </w:rPr>
        <w:t xml:space="preserve">Implication: </w:t>
      </w:r>
      <w:r>
        <w:rPr>
          <w:rFonts w:ascii="Calibri" w:hAnsi="Calibri"/>
          <w:i/>
          <w:color w:val="525866"/>
          <w:sz w:val="22"/>
        </w:rPr>
        <w:t>Analyst community is cautiously constructive; the spread between Buy ($110-$122) and Hold/Neutral ($99-$104) PTs reflects the debate between capital return optionality (bull case) and top-line growth headwinds (bear case).</w:t>
      </w:r>
    </w:p>
    <w:p>
      <w:pPr>
        <w:pStyle w:val="ListBullet"/>
        <w:ind w:left="360" w:hanging="360"/>
      </w:pPr>
      <w:r>
        <w:rPr>
          <w:rFonts w:ascii="Calibri" w:hAnsi="Calibri"/>
          <w:b/>
          <w:color w:val="525866"/>
          <w:sz w:val="22"/>
        </w:rPr>
        <w:t xml:space="preserve">Q2 2026 (Ongoing) — Iran Conflict Losses: </w:t>
      </w:r>
      <w:r>
        <w:rPr>
          <w:rFonts w:ascii="Calibri" w:hAnsi="Calibri"/>
          <w:color w:val="525866"/>
          <w:sz w:val="22"/>
        </w:rPr>
        <w:t xml:space="preserve">Management guided at Q1 earnings that additional losses from political violence, war-on-land, and terror lines (primarily out of London) would flow through in Q2. The conflict is ongoing. Industry loss estimated at several billion dollars. </w:t>
      </w:r>
    </w:p>
    <w:p>
      <w:pPr>
        <w:pStyle w:val="ListBullet"/>
        <w:ind w:left="360" w:hanging="360"/>
      </w:pPr>
      <w:r>
        <w:rPr>
          <w:rFonts w:ascii="Calibri" w:hAnsi="Calibri"/>
          <w:b/>
          <w:i/>
          <w:color w:val="525866"/>
          <w:sz w:val="22"/>
        </w:rPr>
        <w:t xml:space="preserve">Implication: </w:t>
      </w:r>
      <w:r>
        <w:rPr>
          <w:rFonts w:ascii="Calibri" w:hAnsi="Calibri"/>
          <w:i/>
          <w:color w:val="525866"/>
          <w:sz w:val="22"/>
        </w:rPr>
        <w:t>Key wildcard for Q2 EPS. Arch selectively wrote incremental business in these lines at spiked rates, so there may be some premium offset. The size of the Q2 charge relative to the cat load is the primary source of EPS surprise risk.</w:t>
      </w:r>
    </w:p>
    <w:p>
      <w:pPr>
        <w:pStyle w:val="ListBullet"/>
        <w:ind w:left="360" w:hanging="360"/>
      </w:pPr>
      <w:r>
        <w:rPr>
          <w:rFonts w:ascii="Calibri" w:hAnsi="Calibri"/>
          <w:b/>
          <w:color w:val="525866"/>
          <w:sz w:val="22"/>
        </w:rPr>
        <w:t xml:space="preserve">Mid-Year 2026 — Property Cat Renewals (6/1 and 7/1): </w:t>
      </w:r>
      <w:r>
        <w:rPr>
          <w:rFonts w:ascii="Calibri" w:hAnsi="Calibri"/>
          <w:color w:val="525866"/>
          <w:sz w:val="22"/>
        </w:rPr>
        <w:t xml:space="preserve">Peer commentary (RNR, HG) confirms property cat rates were down high-teens at mid-year, consistent with ACGL's Q1 guidance. RNR grew U.S. property cat limit by $600M at mid-year, suggesting selective growth is possible. ACGL's 7/1 renewal outcomes will be disclosed on the Q2 call. </w:t>
      </w:r>
    </w:p>
    <w:p>
      <w:pPr>
        <w:pStyle w:val="ListBullet"/>
        <w:ind w:left="360" w:hanging="360"/>
      </w:pPr>
      <w:r>
        <w:rPr>
          <w:rFonts w:ascii="Calibri" w:hAnsi="Calibri"/>
          <w:b/>
          <w:i/>
          <w:color w:val="525866"/>
          <w:sz w:val="22"/>
        </w:rPr>
        <w:t xml:space="preserve">Implication: </w:t>
      </w:r>
      <w:r>
        <w:rPr>
          <w:rFonts w:ascii="Calibri" w:hAnsi="Calibri"/>
          <w:i/>
          <w:color w:val="525866"/>
          <w:sz w:val="22"/>
        </w:rPr>
        <w:t>The 7/1 renewal disclosure will be closely watched — any PML reduction or meaningful volume pullback would signal more aggressive cycle management and could weigh on NPW estimates for H2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senior executives or the CEO/CFO since last earnings — the only notable transaction is a </w:t>
      </w:r>
      <w:r>
        <w:rPr>
          <w:rFonts w:ascii="Calibri" w:hAnsi="Calibri"/>
          <w:b/>
          <w:color w:val="525866"/>
          <w:sz w:val="22"/>
        </w:rPr>
        <w:t>director open-market purchase of $5,300 by Daniel Houston on April 30</w:t>
      </w:r>
      <w:r>
        <w:rPr>
          <w:rFonts w:ascii="Calibri" w:hAnsi="Calibri"/>
          <w:color w:val="525866"/>
          <w:sz w:val="22"/>
        </w:rPr>
        <w:t xml:space="preserve"> (the day after the post-earnings sell-off), which is a modest but directionally positive signal. All other transactions are routine director compensation awards or a gift/transfer by the Chairman.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Value / Shares</w:t>
            </w:r>
          </w:p>
        </w:tc>
        <w:tc>
          <w:tcPr>
            <w:tcW w:type="dxa" w:w="1440"/>
          </w:tcPr>
          <w:p>
            <w:r>
              <w:rPr>
                <w:rFonts w:ascii="Calibri" w:hAnsi="Calibri"/>
                <w:b/>
                <w:sz w:val="22"/>
              </w:rPr>
              <w:t>Transaction Date</w:t>
            </w:r>
          </w:p>
        </w:tc>
        <w:tc>
          <w:tcPr>
            <w:tcW w:type="dxa" w:w="1440"/>
          </w:tcPr>
          <w:p>
            <w:r>
              <w:rPr>
                <w:rFonts w:ascii="Calibri" w:hAnsi="Calibri"/>
                <w:b/>
                <w:sz w:val="22"/>
              </w:rPr>
              <w:t>Note</w:t>
            </w:r>
          </w:p>
        </w:tc>
      </w:tr>
      <w:tr>
        <w:tc>
          <w:tcPr>
            <w:tcW w:type="dxa" w:w="1440"/>
          </w:tcPr>
          <w:p>
            <w:r>
              <w:rPr>
                <w:rFonts w:ascii="Calibri" w:hAnsi="Calibri"/>
                <w:sz w:val="22"/>
              </w:rPr>
              <w:t>Houston, Daniel Joseph</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5,300 shares (~$493K at ~$93/share)</w:t>
            </w:r>
          </w:p>
        </w:tc>
        <w:tc>
          <w:tcPr>
            <w:tcW w:type="dxa" w:w="1440"/>
          </w:tcPr>
          <w:p>
            <w:r>
              <w:rPr>
                <w:rFonts w:ascii="Calibri" w:hAnsi="Calibri"/>
                <w:sz w:val="22"/>
              </w:rPr>
              <w:t>April 30, 2026</w:t>
            </w:r>
          </w:p>
        </w:tc>
        <w:tc>
          <w:tcPr>
            <w:tcW w:type="dxa" w:w="1440"/>
          </w:tcPr>
          <w:p>
            <w:r>
              <w:rPr>
                <w:rFonts w:ascii="Calibri" w:hAnsi="Calibri"/>
                <w:sz w:val="22"/>
              </w:rPr>
              <w:t>Discretionary purchase the day after post-Q1 sell-off; directionally positive signal</w:t>
            </w:r>
          </w:p>
        </w:tc>
      </w:tr>
      <w:tr>
        <w:tc>
          <w:tcPr>
            <w:tcW w:type="dxa" w:w="1440"/>
          </w:tcPr>
          <w:p>
            <w:r>
              <w:rPr>
                <w:rFonts w:ascii="Calibri" w:hAnsi="Calibri"/>
                <w:sz w:val="22"/>
              </w:rPr>
              <w:t>Pasquesi, John M.</w:t>
            </w:r>
          </w:p>
        </w:tc>
        <w:tc>
          <w:tcPr>
            <w:tcW w:type="dxa" w:w="1440"/>
          </w:tcPr>
          <w:p>
            <w:r>
              <w:rPr>
                <w:rFonts w:ascii="Calibri" w:hAnsi="Calibri"/>
                <w:sz w:val="22"/>
              </w:rPr>
              <w:t>Chair, Director</w:t>
            </w:r>
          </w:p>
        </w:tc>
        <w:tc>
          <w:tcPr>
            <w:tcW w:type="dxa" w:w="1440"/>
          </w:tcPr>
          <w:p>
            <w:r>
              <w:rPr>
                <w:rFonts w:ascii="Calibri" w:hAnsi="Calibri"/>
                <w:sz w:val="22"/>
              </w:rPr>
              <w:t>Gift / Transfer (Code G)</w:t>
            </w:r>
          </w:p>
        </w:tc>
        <w:tc>
          <w:tcPr>
            <w:tcW w:type="dxa" w:w="1440"/>
          </w:tcPr>
          <w:p>
            <w:r>
              <w:rPr>
                <w:rFonts w:ascii="Calibri" w:hAnsi="Calibri"/>
                <w:sz w:val="22"/>
              </w:rPr>
              <w:t>~$1.007M (gift from LLC to Trust)</w:t>
            </w:r>
          </w:p>
        </w:tc>
        <w:tc>
          <w:tcPr>
            <w:tcW w:type="dxa" w:w="1440"/>
          </w:tcPr>
          <w:p>
            <w:r>
              <w:rPr>
                <w:rFonts w:ascii="Calibri" w:hAnsi="Calibri"/>
                <w:sz w:val="22"/>
              </w:rPr>
              <w:t>June 11, 2026</w:t>
            </w:r>
          </w:p>
        </w:tc>
        <w:tc>
          <w:tcPr>
            <w:tcW w:type="dxa" w:w="1440"/>
          </w:tcPr>
          <w:p>
            <w:r>
              <w:rPr>
                <w:rFonts w:ascii="Calibri" w:hAnsi="Calibri"/>
                <w:sz w:val="22"/>
              </w:rPr>
              <w:t>Internal transfer between related entities (LLC to Trust); not an open-market sale; no economic change in beneficial ownership</w:t>
            </w:r>
          </w:p>
        </w:tc>
      </w:tr>
      <w:tr>
        <w:tc>
          <w:tcPr>
            <w:tcW w:type="dxa" w:w="1440"/>
          </w:tcPr>
          <w:p>
            <w:r>
              <w:rPr>
                <w:rFonts w:ascii="Calibri" w:hAnsi="Calibri"/>
                <w:sz w:val="22"/>
              </w:rPr>
              <w:t>Posner, Brian S.</w:t>
            </w:r>
          </w:p>
        </w:tc>
        <w:tc>
          <w:tcPr>
            <w:tcW w:type="dxa" w:w="1440"/>
          </w:tcPr>
          <w:p>
            <w:r>
              <w:rPr>
                <w:rFonts w:ascii="Calibri" w:hAnsi="Calibri"/>
                <w:sz w:val="22"/>
              </w:rPr>
              <w:t>Director</w:t>
            </w:r>
          </w:p>
        </w:tc>
        <w:tc>
          <w:tcPr>
            <w:tcW w:type="dxa" w:w="1440"/>
          </w:tcPr>
          <w:p>
            <w:r>
              <w:rPr>
                <w:rFonts w:ascii="Calibri" w:hAnsi="Calibri"/>
                <w:sz w:val="22"/>
              </w:rPr>
              <w:t>Open Market Sale (Preferred Shares)</w:t>
            </w:r>
          </w:p>
        </w:tc>
        <w:tc>
          <w:tcPr>
            <w:tcW w:type="dxa" w:w="1440"/>
          </w:tcPr>
          <w:p>
            <w:r>
              <w:rPr>
                <w:rFonts w:ascii="Calibri" w:hAnsi="Calibri"/>
                <w:sz w:val="22"/>
              </w:rPr>
              <w:t>3,000 Depositary Shares, Series F</w:t>
            </w:r>
          </w:p>
        </w:tc>
        <w:tc>
          <w:tcPr>
            <w:tcW w:type="dxa" w:w="1440"/>
          </w:tcPr>
          <w:p>
            <w:r>
              <w:rPr>
                <w:rFonts w:ascii="Calibri" w:hAnsi="Calibri"/>
                <w:sz w:val="22"/>
              </w:rPr>
              <w:t>June 3, 2026</w:t>
            </w:r>
          </w:p>
        </w:tc>
        <w:tc>
          <w:tcPr>
            <w:tcW w:type="dxa" w:w="1440"/>
          </w:tcPr>
          <w:p>
            <w:r>
              <w:rPr>
                <w:rFonts w:ascii="Calibri" w:hAnsi="Calibri"/>
                <w:sz w:val="22"/>
              </w:rPr>
              <w:t>Sale of preferred depositary shares (not common equity); limited read-through to common stock outlook</w:t>
            </w:r>
          </w:p>
        </w:tc>
      </w:tr>
      <w:tr>
        <w:tc>
          <w:tcPr>
            <w:tcW w:type="dxa" w:w="1440"/>
          </w:tcPr>
          <w:p>
            <w:r>
              <w:rPr>
                <w:rFonts w:ascii="Calibri" w:hAnsi="Calibri"/>
                <w:sz w:val="22"/>
              </w:rPr>
              <w:t>Posner, Brian S.</w:t>
            </w:r>
          </w:p>
        </w:tc>
        <w:tc>
          <w:tcPr>
            <w:tcW w:type="dxa" w:w="1440"/>
          </w:tcPr>
          <w:p>
            <w:r>
              <w:rPr>
                <w:rFonts w:ascii="Calibri" w:hAnsi="Calibri"/>
                <w:sz w:val="22"/>
              </w:rPr>
              <w:t>Director</w:t>
            </w:r>
          </w:p>
        </w:tc>
        <w:tc>
          <w:tcPr>
            <w:tcW w:type="dxa" w:w="1440"/>
          </w:tcPr>
          <w:p>
            <w:r>
              <w:rPr>
                <w:rFonts w:ascii="Calibri" w:hAnsi="Calibri"/>
                <w:sz w:val="22"/>
              </w:rPr>
              <w:t>Open Market Sale (Preferred Shares)</w:t>
            </w:r>
          </w:p>
        </w:tc>
        <w:tc>
          <w:tcPr>
            <w:tcW w:type="dxa" w:w="1440"/>
          </w:tcPr>
          <w:p>
            <w:r>
              <w:rPr>
                <w:rFonts w:ascii="Calibri" w:hAnsi="Calibri"/>
                <w:sz w:val="22"/>
              </w:rPr>
              <w:t>2,000 Depositary Shares, Series G</w:t>
            </w:r>
          </w:p>
        </w:tc>
        <w:tc>
          <w:tcPr>
            <w:tcW w:type="dxa" w:w="1440"/>
          </w:tcPr>
          <w:p>
            <w:r>
              <w:rPr>
                <w:rFonts w:ascii="Calibri" w:hAnsi="Calibri"/>
                <w:sz w:val="22"/>
              </w:rPr>
              <w:t>May 11, 2026</w:t>
            </w:r>
          </w:p>
        </w:tc>
        <w:tc>
          <w:tcPr>
            <w:tcW w:type="dxa" w:w="1440"/>
          </w:tcPr>
          <w:p>
            <w:r>
              <w:rPr>
                <w:rFonts w:ascii="Calibri" w:hAnsi="Calibri"/>
                <w:sz w:val="22"/>
              </w:rPr>
              <w:t>Sale of preferred depositary shares (not common equity); limited read-through to common stock outlook</w:t>
            </w:r>
          </w:p>
        </w:tc>
      </w:tr>
      <w:tr>
        <w:tc>
          <w:tcPr>
            <w:tcW w:type="dxa" w:w="1440"/>
          </w:tcPr>
          <w:p>
            <w:r>
              <w:rPr>
                <w:rFonts w:ascii="Calibri" w:hAnsi="Calibri"/>
                <w:sz w:val="22"/>
              </w:rPr>
              <w:t>Multiple Directors (8 individuals)</w:t>
            </w:r>
          </w:p>
        </w:tc>
        <w:tc>
          <w:tcPr>
            <w:tcW w:type="dxa" w:w="1440"/>
          </w:tcPr>
          <w:p>
            <w:r>
              <w:rPr>
                <w:rFonts w:ascii="Calibri" w:hAnsi="Calibri"/>
                <w:sz w:val="22"/>
              </w:rPr>
              <w:t>Directors</w:t>
            </w:r>
          </w:p>
        </w:tc>
        <w:tc>
          <w:tcPr>
            <w:tcW w:type="dxa" w:w="1440"/>
          </w:tcPr>
          <w:p>
            <w:r>
              <w:rPr>
                <w:rFonts w:ascii="Calibri" w:hAnsi="Calibri"/>
                <w:sz w:val="22"/>
              </w:rPr>
              <w:t>Compensation Award (Code A)</w:t>
            </w:r>
          </w:p>
        </w:tc>
        <w:tc>
          <w:tcPr>
            <w:tcW w:type="dxa" w:w="1440"/>
          </w:tcPr>
          <w:p>
            <w:r>
              <w:rPr>
                <w:rFonts w:ascii="Calibri" w:hAnsi="Calibri"/>
                <w:sz w:val="22"/>
              </w:rPr>
              <w:t>2,071–3,398 shares each (routine annual director equity grants)</w:t>
            </w:r>
          </w:p>
        </w:tc>
        <w:tc>
          <w:tcPr>
            <w:tcW w:type="dxa" w:w="1440"/>
          </w:tcPr>
          <w:p>
            <w:r>
              <w:rPr>
                <w:rFonts w:ascii="Calibri" w:hAnsi="Calibri"/>
                <w:sz w:val="22"/>
              </w:rPr>
              <w:t>May 5, 2026</w:t>
            </w:r>
          </w:p>
        </w:tc>
        <w:tc>
          <w:tcPr>
            <w:tcW w:type="dxa" w:w="1440"/>
          </w:tcPr>
          <w:p>
            <w:r>
              <w:rPr>
                <w:rFonts w:ascii="Calibri" w:hAnsi="Calibri"/>
                <w:sz w:val="22"/>
              </w:rPr>
              <w:t>Routine annual director compensation awards; not open-market purchases; no signal value</w:t>
            </w:r>
          </w:p>
        </w:tc>
      </w:tr>
    </w:tbl>
    <w:p>
      <w:r>
        <w:rPr>
          <w:rFonts w:ascii="Calibri" w:hAnsi="Calibri"/>
          <w:b/>
          <w:color w:val="525866"/>
          <w:sz w:val="22"/>
        </w:rPr>
        <w:t xml:space="preserve">Summary: </w:t>
      </w:r>
      <w:r>
        <w:rPr>
          <w:rFonts w:ascii="Calibri" w:hAnsi="Calibri"/>
          <w:color w:val="525866"/>
          <w:sz w:val="22"/>
        </w:rPr>
        <w:t xml:space="preserve">Insider activity since last earnings is largely routine (director compensation awards, a gift/transfer by the Chairman, and preferred share sales by one director). The only open-market common equity purchase is Director Houston's $493K buy on April 30 — the day after the post-Q1 sell-off — which is a modest positive signal. No senior management (CEO, CFO, President) transactions are present in the period. The absence of executive selling is neutral-to-positive. No 10b5-1 plan initiations were disclosed in the period. </w:t>
      </w:r>
    </w:p>
    <w:p>
      <w:r>
        <w:rPr>
          <w:rFonts w:ascii="Calibri" w:hAnsi="Calibri"/>
          <w:color w:val="525866"/>
          <w:sz w:val="22"/>
        </w:rPr>
        <w:t>Source: Insider Transaction Data (SEC Form 4 filings, April 28 – July 28,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