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Arch Capital Group Ltd. (ACGL)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Arch Capital Group Ltd.</w:t>
            </w:r>
          </w:p>
        </w:tc>
      </w:tr>
      <w:tr>
        <w:tc>
          <w:tcPr>
            <w:tcW w:type="dxa" w:w="4320"/>
          </w:tcPr>
          <w:p>
            <w:r>
              <w:rPr>
                <w:rFonts w:ascii="Calibri" w:hAnsi="Calibri"/>
                <w:b/>
                <w:sz w:val="22"/>
              </w:rPr>
              <w:t>Ticker</w:t>
            </w:r>
          </w:p>
        </w:tc>
        <w:tc>
          <w:tcPr>
            <w:tcW w:type="dxa" w:w="4320"/>
          </w:tcPr>
          <w:p>
            <w:r>
              <w:rPr>
                <w:rFonts w:ascii="Calibri" w:hAnsi="Calibri"/>
                <w:sz w:val="22"/>
              </w:rPr>
              <w:t>ACGL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Expected Release</w:t>
            </w:r>
          </w:p>
        </w:tc>
        <w:tc>
          <w:tcPr>
            <w:tcW w:type="dxa" w:w="4320"/>
          </w:tcPr>
          <w:p>
            <w:r>
              <w:rPr>
                <w:rFonts w:ascii="Calibri" w:hAnsi="Calibri"/>
                <w:sz w:val="22"/>
              </w:rPr>
              <w:t>July 28, 2026 (after market close)</w:t>
            </w:r>
          </w:p>
        </w:tc>
      </w:tr>
      <w:tr>
        <w:tc>
          <w:tcPr>
            <w:tcW w:type="dxa" w:w="4320"/>
          </w:tcPr>
          <w:p>
            <w:r>
              <w:rPr>
                <w:rFonts w:ascii="Calibri" w:hAnsi="Calibri"/>
                <w:b/>
                <w:sz w:val="22"/>
              </w:rPr>
              <w:t>Earnings Call</w:t>
            </w:r>
          </w:p>
        </w:tc>
        <w:tc>
          <w:tcPr>
            <w:tcW w:type="dxa" w:w="4320"/>
          </w:tcPr>
          <w:p>
            <w:r>
              <w:rPr>
                <w:rFonts w:ascii="Calibri" w:hAnsi="Calibri"/>
                <w:sz w:val="22"/>
              </w:rPr>
              <w:t>July 29, 2026 at 10:00 AM ET</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 Sub-sector</w:t>
            </w:r>
          </w:p>
        </w:tc>
        <w:tc>
          <w:tcPr>
            <w:tcW w:type="dxa" w:w="4320"/>
          </w:tcPr>
          <w:p>
            <w:r>
              <w:rPr>
                <w:rFonts w:ascii="Calibri" w:hAnsi="Calibri"/>
                <w:sz w:val="22"/>
              </w:rPr>
              <w:t>Financials / Specialty Insurance &amp; Reinsurance</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balanced-to-slightly-cautious — consensus is a manageable bar on EPS but the top-line (net premiums written) faces structural headwinds from double-digit property-cat rate declines and MCE program non-renewals; the biggest swing factor is the magnitude of Q2 catastrophe losses and whether favorable prior-year development can again offset softening premium volume.</w:t>
      </w:r>
    </w:p>
    <w:p>
      <w:r>
        <w:rPr>
          <w:rFonts w:ascii="Calibri" w:hAnsi="Calibri"/>
          <w:color w:val="525866"/>
          <w:sz w:val="22"/>
        </w:rPr>
        <w:t>Arch heads into Q2 2026 earnings with a consensus operating EPS estimate of $2.47 — a modest bar relative to the $2.50 reported in Q1 2026 and well below the $2.58 reported in Q2 2025, reflecting the market's expectation of a more competitive underwriting environment. Management's tone on the Q1 call was constructive but explicitly acknowledged "huge headwinds" from double-digit property-cat rate declines and guided that the operating expense ratio would remain elevated through H1 before normalizing in H2 as MidCorp transitional costs roll off. Estimate revisions have been modestly negative since the Q1 print — 2Q26 EPS consensus drifted from $2.41 to $2.47 (a slight uptick in July driven by peer beats), while net premiums written consensus has been trimmed from ~$4.27B to ~$4.22B, suggesting the Street is pricing in continued top-line pressure. The stock has rallied ~10% over the past month, outperforming the sector, which means some beat is already priced in at ~10.8x NTM P/E — not stretched, but not cheap enough to absorb a miss. The key wildcard is the Q2 catastrophe load: peers Chubb ($475M pre-tax) and Travelers (~$400M after-tax) reported moderate but not severe cat losses, and Allstate disclosed $1.72B in Q2 industry cat losses — a benign-to-moderate quarter that should be manageable for Arch's diversified book, but any Iran conflict escalation losses flowing into Q2 (management flagged additional losses expected) could be the swing factor.</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low-to-moderate bar on EPS ($2.47 vs. $2.50 last quarter) but a higher bar on net premiums written ($4.22B), where structural headwinds from property-cat rate declines and MCE non-renewals make a top-line beat difficult. The ex-cat combined ratio is the bigger swing factor — any favorable prior-year development or benign attritional losses could drive meaningful upside.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 Mgmt. Commentary</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EPS (Diluted)</w:t>
            </w:r>
          </w:p>
        </w:tc>
        <w:tc>
          <w:tcPr>
            <w:tcW w:type="dxa" w:w="1234"/>
          </w:tcPr>
          <w:p>
            <w:r>
              <w:rPr>
                <w:rFonts w:ascii="Calibri" w:hAnsi="Calibri"/>
                <w:sz w:val="22"/>
              </w:rPr>
              <w:t>$2.50</w:t>
            </w:r>
          </w:p>
        </w:tc>
        <w:tc>
          <w:tcPr>
            <w:tcW w:type="dxa" w:w="1234"/>
          </w:tcPr>
          <w:p>
            <w:r>
              <w:rPr>
                <w:rFonts w:ascii="Calibri" w:hAnsi="Calibri"/>
                <w:sz w:val="22"/>
              </w:rPr>
              <w:t>$2.58</w:t>
            </w:r>
          </w:p>
        </w:tc>
        <w:tc>
          <w:tcPr>
            <w:tcW w:type="dxa" w:w="1234"/>
          </w:tcPr>
          <w:p>
            <w:r>
              <w:rPr>
                <w:rFonts w:ascii="Calibri" w:hAnsi="Calibri"/>
                <w:sz w:val="22"/>
              </w:rPr>
              <w:t>$2.47</w:t>
            </w:r>
          </w:p>
        </w:tc>
        <w:tc>
          <w:tcPr>
            <w:tcW w:type="dxa" w:w="1234"/>
          </w:tcPr>
          <w:p>
            <w:r>
              <w:rPr>
                <w:rFonts w:ascii="Calibri" w:hAnsi="Calibri"/>
                <w:b/>
                <w:color w:val="E5484D"/>
                <w:sz w:val="22"/>
              </w:rPr>
              <w:t>−4.3%</w:t>
            </w:r>
          </w:p>
        </w:tc>
        <w:tc>
          <w:tcPr>
            <w:tcW w:type="dxa" w:w="1234"/>
          </w:tcPr>
          <w:p>
            <w:r>
              <w:rPr>
                <w:rFonts w:ascii="Calibri" w:hAnsi="Calibri"/>
                <w:sz w:val="22"/>
              </w:rPr>
              <w:t>No explicit EPS guidance; mgmt. targets mid-to-high teens operating ROE through the cycle</w:t>
            </w:r>
          </w:p>
        </w:tc>
        <w:tc>
          <w:tcPr>
            <w:tcW w:type="dxa" w:w="1234"/>
          </w:tcPr>
          <w:p>
            <w:r>
              <w:rPr>
                <w:rFonts w:ascii="Calibri" w:hAnsi="Calibri"/>
                <w:sz w:val="22"/>
              </w:rPr>
              <w:t>N/A — no point guidance</w:t>
            </w:r>
          </w:p>
        </w:tc>
      </w:tr>
      <w:tr>
        <w:tc>
          <w:tcPr>
            <w:tcW w:type="dxa" w:w="1234"/>
          </w:tcPr>
          <w:p>
            <w:r>
              <w:rPr>
                <w:rFonts w:ascii="Calibri" w:hAnsi="Calibri"/>
                <w:sz w:val="22"/>
              </w:rPr>
              <w:t>Net Premiums Written</w:t>
            </w:r>
          </w:p>
        </w:tc>
        <w:tc>
          <w:tcPr>
            <w:tcW w:type="dxa" w:w="1234"/>
          </w:tcPr>
          <w:p>
            <w:r>
              <w:rPr>
                <w:rFonts w:ascii="Calibri" w:hAnsi="Calibri"/>
                <w:sz w:val="22"/>
              </w:rPr>
              <w:t>$4,348M</w:t>
            </w:r>
          </w:p>
        </w:tc>
        <w:tc>
          <w:tcPr>
            <w:tcW w:type="dxa" w:w="1234"/>
          </w:tcPr>
          <w:p>
            <w:r>
              <w:rPr>
                <w:rFonts w:ascii="Calibri" w:hAnsi="Calibri"/>
                <w:sz w:val="22"/>
              </w:rPr>
              <w:t>$4,348M</w:t>
            </w:r>
          </w:p>
        </w:tc>
        <w:tc>
          <w:tcPr>
            <w:tcW w:type="dxa" w:w="1234"/>
          </w:tcPr>
          <w:p>
            <w:r>
              <w:rPr>
                <w:rFonts w:ascii="Calibri" w:hAnsi="Calibri"/>
                <w:sz w:val="22"/>
              </w:rPr>
              <w:t>$4,217M</w:t>
            </w:r>
          </w:p>
        </w:tc>
        <w:tc>
          <w:tcPr>
            <w:tcW w:type="dxa" w:w="1234"/>
          </w:tcPr>
          <w:p>
            <w:r>
              <w:rPr>
                <w:rFonts w:ascii="Calibri" w:hAnsi="Calibri"/>
                <w:b/>
                <w:color w:val="E5484D"/>
                <w:sz w:val="22"/>
              </w:rPr>
              <w:t>−3.0%</w:t>
            </w:r>
          </w:p>
        </w:tc>
        <w:tc>
          <w:tcPr>
            <w:tcW w:type="dxa" w:w="1234"/>
          </w:tcPr>
          <w:p>
            <w:r>
              <w:rPr>
                <w:rFonts w:ascii="Calibri" w:hAnsi="Calibri"/>
                <w:sz w:val="22"/>
              </w:rPr>
              <w:t>Mgmt. flagged double-digit property-cat rate declines and MCE program non-renewals as top-line headwinds; no specific NPW guidance</w:t>
            </w:r>
          </w:p>
        </w:tc>
        <w:tc>
          <w:tcPr>
            <w:tcW w:type="dxa" w:w="1234"/>
          </w:tcPr>
          <w:p>
            <w:r>
              <w:rPr>
                <w:rFonts w:ascii="Calibri" w:hAnsi="Calibri"/>
                <w:sz w:val="22"/>
              </w:rPr>
              <w:t>N/A — no point guidance</w:t>
            </w:r>
          </w:p>
        </w:tc>
      </w:tr>
      <w:tr>
        <w:tc>
          <w:tcPr>
            <w:tcW w:type="dxa" w:w="1234"/>
          </w:tcPr>
          <w:p>
            <w:r>
              <w:rPr>
                <w:rFonts w:ascii="Calibri" w:hAnsi="Calibri"/>
                <w:sz w:val="22"/>
              </w:rPr>
              <w:t>Combined Ratio ex-Cat &amp; ex-PYD (Ins. &amp; Reinsr.)</w:t>
            </w:r>
          </w:p>
        </w:tc>
        <w:tc>
          <w:tcPr>
            <w:tcW w:type="dxa" w:w="1234"/>
          </w:tcPr>
          <w:p>
            <w:r>
              <w:rPr>
                <w:rFonts w:ascii="Calibri" w:hAnsi="Calibri"/>
                <w:sz w:val="22"/>
              </w:rPr>
              <w:t>87.4%</w:t>
            </w:r>
          </w:p>
        </w:tc>
        <w:tc>
          <w:tcPr>
            <w:tcW w:type="dxa" w:w="1234"/>
          </w:tcPr>
          <w:p>
            <w:r>
              <w:rPr>
                <w:rFonts w:ascii="Calibri" w:hAnsi="Calibri"/>
                <w:sz w:val="22"/>
              </w:rPr>
              <w:t>85.1%</w:t>
            </w:r>
          </w:p>
        </w:tc>
        <w:tc>
          <w:tcPr>
            <w:tcW w:type="dxa" w:w="1234"/>
          </w:tcPr>
          <w:p>
            <w:r>
              <w:rPr>
                <w:rFonts w:ascii="Calibri" w:hAnsi="Calibri"/>
                <w:sz w:val="22"/>
              </w:rPr>
              <w:t>86.1%</w:t>
            </w:r>
          </w:p>
        </w:tc>
        <w:tc>
          <w:tcPr>
            <w:tcW w:type="dxa" w:w="1234"/>
          </w:tcPr>
          <w:p>
            <w:r>
              <w:rPr>
                <w:rFonts w:ascii="Calibri" w:hAnsi="Calibri"/>
                <w:b/>
                <w:color w:val="E5484D"/>
                <w:sz w:val="22"/>
              </w:rPr>
              <w:t>+100 bps</w:t>
            </w:r>
          </w:p>
        </w:tc>
        <w:tc>
          <w:tcPr>
            <w:tcW w:type="dxa" w:w="1234"/>
          </w:tcPr>
          <w:p>
            <w:r>
              <w:rPr>
                <w:rFonts w:ascii="Calibri" w:hAnsi="Calibri"/>
                <w:sz w:val="22"/>
              </w:rPr>
              <w:t>Mgmt. stated margins "sustainable at least for the near future" with rates just below trend; opex ratio expected to normalize in H2 2026</w:t>
            </w:r>
          </w:p>
        </w:tc>
        <w:tc>
          <w:tcPr>
            <w:tcW w:type="dxa" w:w="1234"/>
          </w:tcPr>
          <w:p>
            <w:r>
              <w:rPr>
                <w:rFonts w:ascii="Calibri" w:hAnsi="Calibri"/>
                <w:sz w:val="22"/>
              </w:rPr>
              <w:t>N/A — no point guidance</w:t>
            </w:r>
          </w:p>
        </w:tc>
      </w:tr>
      <w:tr>
        <w:tc>
          <w:tcPr>
            <w:tcW w:type="dxa" w:w="1234"/>
          </w:tcPr>
          <w:p>
            <w:r>
              <w:rPr>
                <w:rFonts w:ascii="Calibri" w:hAnsi="Calibri"/>
                <w:sz w:val="22"/>
              </w:rPr>
              <w:t>Book Value Per Share</w:t>
            </w:r>
          </w:p>
        </w:tc>
        <w:tc>
          <w:tcPr>
            <w:tcW w:type="dxa" w:w="1234"/>
          </w:tcPr>
          <w:p>
            <w:r>
              <w:rPr>
                <w:rFonts w:ascii="Calibri" w:hAnsi="Calibri"/>
                <w:sz w:val="22"/>
              </w:rPr>
              <w:t>$66.19</w:t>
            </w:r>
          </w:p>
        </w:tc>
        <w:tc>
          <w:tcPr>
            <w:tcW w:type="dxa" w:w="1234"/>
          </w:tcPr>
          <w:p>
            <w:r>
              <w:rPr>
                <w:rFonts w:ascii="Calibri" w:hAnsi="Calibri"/>
                <w:sz w:val="22"/>
              </w:rPr>
              <w:t>$59.17</w:t>
            </w:r>
          </w:p>
        </w:tc>
        <w:tc>
          <w:tcPr>
            <w:tcW w:type="dxa" w:w="1234"/>
          </w:tcPr>
          <w:p>
            <w:r>
              <w:rPr>
                <w:rFonts w:ascii="Calibri" w:hAnsi="Calibri"/>
                <w:sz w:val="22"/>
              </w:rPr>
              <w:t>$68.16</w:t>
            </w:r>
          </w:p>
        </w:tc>
        <w:tc>
          <w:tcPr>
            <w:tcW w:type="dxa" w:w="1234"/>
          </w:tcPr>
          <w:p>
            <w:r>
              <w:rPr>
                <w:rFonts w:ascii="Calibri" w:hAnsi="Calibri"/>
                <w:b/>
                <w:color w:val="30A46C"/>
                <w:sz w:val="22"/>
              </w:rPr>
              <w:t>+15.2%</w:t>
            </w:r>
          </w:p>
        </w:tc>
        <w:tc>
          <w:tcPr>
            <w:tcW w:type="dxa" w:w="1234"/>
          </w:tcPr>
          <w:p>
            <w:r>
              <w:rPr>
                <w:rFonts w:ascii="Calibri" w:hAnsi="Calibri"/>
                <w:sz w:val="22"/>
              </w:rPr>
              <w:t>No explicit BVPS guidance; mgmt. targets compounding BVPS through underwriting profit + buybacks</w:t>
            </w:r>
          </w:p>
        </w:tc>
        <w:tc>
          <w:tcPr>
            <w:tcW w:type="dxa" w:w="1234"/>
          </w:tcPr>
          <w:p>
            <w:r>
              <w:rPr>
                <w:rFonts w:ascii="Calibri" w:hAnsi="Calibri"/>
                <w:sz w:val="22"/>
              </w:rPr>
              <w:t>N/A — no point guidance</w:t>
            </w:r>
          </w:p>
        </w:tc>
      </w:tr>
      <w:tr>
        <w:tc>
          <w:tcPr>
            <w:tcW w:type="dxa" w:w="1234"/>
          </w:tcPr>
          <w:p>
            <w:r>
              <w:rPr>
                <w:rFonts w:ascii="Calibri" w:hAnsi="Calibri"/>
                <w:sz w:val="22"/>
              </w:rPr>
              <w:t>Operating ROE (Annualized)</w:t>
            </w:r>
          </w:p>
        </w:tc>
        <w:tc>
          <w:tcPr>
            <w:tcW w:type="dxa" w:w="1234"/>
          </w:tcPr>
          <w:p>
            <w:r>
              <w:rPr>
                <w:rFonts w:ascii="Calibri" w:hAnsi="Calibri"/>
                <w:sz w:val="22"/>
              </w:rPr>
              <w:t>15.4%</w:t>
            </w:r>
          </w:p>
        </w:tc>
        <w:tc>
          <w:tcPr>
            <w:tcW w:type="dxa" w:w="1234"/>
          </w:tcPr>
          <w:p>
            <w:r>
              <w:rPr>
                <w:rFonts w:ascii="Calibri" w:hAnsi="Calibri"/>
                <w:sz w:val="22"/>
              </w:rPr>
              <w:t>18.2%</w:t>
            </w:r>
          </w:p>
        </w:tc>
        <w:tc>
          <w:tcPr>
            <w:tcW w:type="dxa" w:w="1234"/>
          </w:tcPr>
          <w:p>
            <w:r>
              <w:rPr>
                <w:rFonts w:ascii="Calibri" w:hAnsi="Calibri"/>
                <w:sz w:val="22"/>
              </w:rPr>
              <w:t>15.0%</w:t>
            </w:r>
          </w:p>
        </w:tc>
        <w:tc>
          <w:tcPr>
            <w:tcW w:type="dxa" w:w="1234"/>
          </w:tcPr>
          <w:p>
            <w:r>
              <w:rPr>
                <w:rFonts w:ascii="Calibri" w:hAnsi="Calibri"/>
                <w:b/>
                <w:color w:val="E5484D"/>
                <w:sz w:val="22"/>
              </w:rPr>
              <w:t>−320 bps</w:t>
            </w:r>
          </w:p>
        </w:tc>
        <w:tc>
          <w:tcPr>
            <w:tcW w:type="dxa" w:w="1234"/>
          </w:tcPr>
          <w:p>
            <w:r>
              <w:rPr>
                <w:rFonts w:ascii="Calibri" w:hAnsi="Calibri"/>
                <w:sz w:val="22"/>
              </w:rPr>
              <w:t>Mgmt. targets mid-to-high teens operating ROE through the cycle; Q1 2026 annualized was 15.4%</w:t>
            </w:r>
          </w:p>
        </w:tc>
        <w:tc>
          <w:tcPr>
            <w:tcW w:type="dxa" w:w="1234"/>
          </w:tcPr>
          <w:p>
            <w:r>
              <w:rPr>
                <w:rFonts w:ascii="Calibri" w:hAnsi="Calibri"/>
                <w:sz w:val="22"/>
              </w:rPr>
              <w:t>N/A — no point guidance</w:t>
            </w:r>
          </w:p>
        </w:tc>
      </w:tr>
    </w:tbl>
    <w:p>
      <w:r>
        <w:rPr>
          <w:rFonts w:ascii="Calibri" w:hAnsi="Calibri"/>
          <w:color w:val="525866"/>
          <w:sz w:val="22"/>
        </w:rPr>
        <w:t>Sources: Visible Alpha Consensus and Actuals Data (EPS, NPW, Combined Ratio ex-Cat &amp; ex-PYD, BVPS, Operating ROE); ACGL Q1 2026 Earnings Call Transcript and Earnings Release (management commentary).</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Operating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$2.50</w:t>
            </w:r>
          </w:p>
        </w:tc>
        <w:tc>
          <w:tcPr>
            <w:tcW w:type="dxa" w:w="1728"/>
          </w:tcPr>
          <w:p>
            <w:r>
              <w:rPr>
                <w:rFonts w:ascii="Calibri" w:hAnsi="Calibri"/>
                <w:sz w:val="22"/>
              </w:rPr>
              <w:t>$2.45</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$2.98</w:t>
            </w:r>
          </w:p>
        </w:tc>
        <w:tc>
          <w:tcPr>
            <w:tcW w:type="dxa" w:w="1728"/>
          </w:tcPr>
          <w:p>
            <w:r>
              <w:rPr>
                <w:rFonts w:ascii="Calibri" w:hAnsi="Calibri"/>
                <w:sz w:val="22"/>
              </w:rPr>
              <w:t>$2.54</w:t>
            </w:r>
          </w:p>
        </w:tc>
        <w:tc>
          <w:tcPr>
            <w:tcW w:type="dxa" w:w="1728"/>
          </w:tcPr>
          <w:p>
            <w:r>
              <w:rPr>
                <w:rFonts w:ascii="Calibri" w:hAnsi="Calibri"/>
                <w:sz w:val="22"/>
              </w:rPr>
              <w:t>+17.3%</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$2.77</w:t>
            </w:r>
          </w:p>
        </w:tc>
        <w:tc>
          <w:tcPr>
            <w:tcW w:type="dxa" w:w="1728"/>
          </w:tcPr>
          <w:p>
            <w:r>
              <w:rPr>
                <w:rFonts w:ascii="Calibri" w:hAnsi="Calibri"/>
                <w:sz w:val="22"/>
              </w:rPr>
              <w:t>$2.18</w:t>
            </w:r>
          </w:p>
        </w:tc>
        <w:tc>
          <w:tcPr>
            <w:tcW w:type="dxa" w:w="1728"/>
          </w:tcPr>
          <w:p>
            <w:r>
              <w:rPr>
                <w:rFonts w:ascii="Calibri" w:hAnsi="Calibri"/>
                <w:sz w:val="22"/>
              </w:rPr>
              <w:t>+27.1%</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$2.58</w:t>
            </w:r>
          </w:p>
        </w:tc>
        <w:tc>
          <w:tcPr>
            <w:tcW w:type="dxa" w:w="1728"/>
          </w:tcPr>
          <w:p>
            <w:r>
              <w:rPr>
                <w:rFonts w:ascii="Calibri" w:hAnsi="Calibri"/>
                <w:sz w:val="22"/>
              </w:rPr>
              <w:t>$2.32</w:t>
            </w:r>
          </w:p>
        </w:tc>
        <w:tc>
          <w:tcPr>
            <w:tcW w:type="dxa" w:w="1728"/>
          </w:tcPr>
          <w:p>
            <w:r>
              <w:rPr>
                <w:rFonts w:ascii="Calibri" w:hAnsi="Calibri"/>
                <w:sz w:val="22"/>
              </w:rPr>
              <w:t>+11.2%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$1.54</w:t>
            </w:r>
          </w:p>
        </w:tc>
        <w:tc>
          <w:tcPr>
            <w:tcW w:type="dxa" w:w="1728"/>
          </w:tcPr>
          <w:p>
            <w:r>
              <w:rPr>
                <w:rFonts w:ascii="Calibri" w:hAnsi="Calibri"/>
                <w:sz w:val="22"/>
              </w:rPr>
              <w:t>$1.31</w:t>
            </w:r>
          </w:p>
        </w:tc>
        <w:tc>
          <w:tcPr>
            <w:tcW w:type="dxa" w:w="1728"/>
          </w:tcPr>
          <w:p>
            <w:r>
              <w:rPr>
                <w:rFonts w:ascii="Calibri" w:hAnsi="Calibri"/>
                <w:sz w:val="22"/>
              </w:rPr>
              <w:t>+17.6%</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$2.26</w:t>
            </w:r>
          </w:p>
        </w:tc>
        <w:tc>
          <w:tcPr>
            <w:tcW w:type="dxa" w:w="1728"/>
          </w:tcPr>
          <w:p>
            <w:r>
              <w:rPr>
                <w:rFonts w:ascii="Calibri" w:hAnsi="Calibri"/>
                <w:sz w:val="22"/>
              </w:rPr>
              <w:t>$1.87</w:t>
            </w:r>
          </w:p>
        </w:tc>
        <w:tc>
          <w:tcPr>
            <w:tcW w:type="dxa" w:w="1728"/>
          </w:tcPr>
          <w:p>
            <w:r>
              <w:rPr>
                <w:rFonts w:ascii="Calibri" w:hAnsi="Calibri"/>
                <w:sz w:val="22"/>
              </w:rPr>
              <w:t>+20.9%</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$1.99</w:t>
            </w:r>
          </w:p>
        </w:tc>
        <w:tc>
          <w:tcPr>
            <w:tcW w:type="dxa" w:w="1728"/>
          </w:tcPr>
          <w:p>
            <w:r>
              <w:rPr>
                <w:rFonts w:ascii="Calibri" w:hAnsi="Calibri"/>
                <w:sz w:val="22"/>
              </w:rPr>
              <w:t>$2.00</w:t>
            </w:r>
          </w:p>
        </w:tc>
        <w:tc>
          <w:tcPr>
            <w:tcW w:type="dxa" w:w="1728"/>
          </w:tcPr>
          <w:p>
            <w:r>
              <w:rPr>
                <w:rFonts w:ascii="Calibri" w:hAnsi="Calibri"/>
                <w:sz w:val="22"/>
              </w:rPr>
              <w:t>−0.5%</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$2.57</w:t>
            </w:r>
          </w:p>
        </w:tc>
        <w:tc>
          <w:tcPr>
            <w:tcW w:type="dxa" w:w="1728"/>
          </w:tcPr>
          <w:p>
            <w:r>
              <w:rPr>
                <w:rFonts w:ascii="Calibri" w:hAnsi="Calibri"/>
                <w:sz w:val="22"/>
              </w:rPr>
              <w:t>$2.21</w:t>
            </w:r>
          </w:p>
        </w:tc>
        <w:tc>
          <w:tcPr>
            <w:tcW w:type="dxa" w:w="1728"/>
          </w:tcPr>
          <w:p>
            <w:r>
              <w:rPr>
                <w:rFonts w:ascii="Calibri" w:hAnsi="Calibri"/>
                <w:sz w:val="22"/>
              </w:rPr>
              <w:t>+16.3%</w:t>
            </w:r>
          </w:p>
        </w:tc>
        <w:tc>
          <w:tcPr>
            <w:tcW w:type="dxa" w:w="1728"/>
          </w:tcPr>
          <w:p>
            <w:r>
              <w:rPr>
                <w:rFonts w:ascii="Calibri" w:hAnsi="Calibri"/>
                <w:b/>
                <w:color w:val="30A46C"/>
                <w:sz w:val="22"/>
              </w:rPr>
              <w:t>Beat</w:t>
            </w:r>
          </w:p>
        </w:tc>
      </w:tr>
    </w:tbl>
    <w:p>
      <w:pPr>
        <w:pStyle w:val="Heading4"/>
      </w:pPr>
      <w:r>
        <w:rPr>
          <w:rFonts w:ascii="Calibri" w:hAnsi="Calibri"/>
          <w:b/>
          <w:color w:val="3B4259"/>
          <w:sz w:val="22"/>
        </w:rPr>
        <w:t>Net Premiums Written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$4,348M</w:t>
            </w:r>
          </w:p>
        </w:tc>
        <w:tc>
          <w:tcPr>
            <w:tcW w:type="dxa" w:w="1728"/>
          </w:tcPr>
          <w:p>
            <w:r>
              <w:rPr>
                <w:rFonts w:ascii="Calibri" w:hAnsi="Calibri"/>
                <w:sz w:val="22"/>
              </w:rPr>
              <w:t>$4,499M</w:t>
            </w:r>
          </w:p>
        </w:tc>
        <w:tc>
          <w:tcPr>
            <w:tcW w:type="dxa" w:w="1728"/>
          </w:tcPr>
          <w:p>
            <w:r>
              <w:rPr>
                <w:rFonts w:ascii="Calibri" w:hAnsi="Calibri"/>
                <w:sz w:val="22"/>
              </w:rPr>
              <w:t>−3.4%</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$3,649M</w:t>
            </w:r>
          </w:p>
        </w:tc>
        <w:tc>
          <w:tcPr>
            <w:tcW w:type="dxa" w:w="1728"/>
          </w:tcPr>
          <w:p>
            <w:r>
              <w:rPr>
                <w:rFonts w:ascii="Calibri" w:hAnsi="Calibri"/>
                <w:sz w:val="22"/>
              </w:rPr>
              <w:t>$3,961M</w:t>
            </w:r>
          </w:p>
        </w:tc>
        <w:tc>
          <w:tcPr>
            <w:tcW w:type="dxa" w:w="1728"/>
          </w:tcPr>
          <w:p>
            <w:r>
              <w:rPr>
                <w:rFonts w:ascii="Calibri" w:hAnsi="Calibri"/>
                <w:sz w:val="22"/>
              </w:rPr>
              <w:t>−7.9%</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$3,964M</w:t>
            </w:r>
          </w:p>
        </w:tc>
        <w:tc>
          <w:tcPr>
            <w:tcW w:type="dxa" w:w="1728"/>
          </w:tcPr>
          <w:p>
            <w:r>
              <w:rPr>
                <w:rFonts w:ascii="Calibri" w:hAnsi="Calibri"/>
                <w:sz w:val="22"/>
              </w:rPr>
              <w:t>$4,397M</w:t>
            </w:r>
          </w:p>
        </w:tc>
        <w:tc>
          <w:tcPr>
            <w:tcW w:type="dxa" w:w="1728"/>
          </w:tcPr>
          <w:p>
            <w:r>
              <w:rPr>
                <w:rFonts w:ascii="Calibri" w:hAnsi="Calibri"/>
                <w:sz w:val="22"/>
              </w:rPr>
              <w:t>−9.8%</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$4,348M</w:t>
            </w:r>
          </w:p>
        </w:tc>
        <w:tc>
          <w:tcPr>
            <w:tcW w:type="dxa" w:w="1728"/>
          </w:tcPr>
          <w:p>
            <w:r>
              <w:rPr>
                <w:rFonts w:ascii="Calibri" w:hAnsi="Calibri"/>
                <w:sz w:val="22"/>
              </w:rPr>
              <w:t>$4,297M</w:t>
            </w:r>
          </w:p>
        </w:tc>
        <w:tc>
          <w:tcPr>
            <w:tcW w:type="dxa" w:w="1728"/>
          </w:tcPr>
          <w:p>
            <w:r>
              <w:rPr>
                <w:rFonts w:ascii="Calibri" w:hAnsi="Calibri"/>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$4,515M</w:t>
            </w:r>
          </w:p>
        </w:tc>
        <w:tc>
          <w:tcPr>
            <w:tcW w:type="dxa" w:w="1728"/>
          </w:tcPr>
          <w:p>
            <w:r>
              <w:rPr>
                <w:rFonts w:ascii="Calibri" w:hAnsi="Calibri"/>
                <w:sz w:val="22"/>
              </w:rPr>
              <w:t>$4,778M</w:t>
            </w:r>
          </w:p>
        </w:tc>
        <w:tc>
          <w:tcPr>
            <w:tcW w:type="dxa" w:w="1728"/>
          </w:tcPr>
          <w:p>
            <w:r>
              <w:rPr>
                <w:rFonts w:ascii="Calibri" w:hAnsi="Calibri"/>
                <w:sz w:val="22"/>
              </w:rPr>
              <w:t>−5.5%</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$3,819M</w:t>
            </w:r>
          </w:p>
        </w:tc>
        <w:tc>
          <w:tcPr>
            <w:tcW w:type="dxa" w:w="1728"/>
          </w:tcPr>
          <w:p>
            <w:r>
              <w:rPr>
                <w:rFonts w:ascii="Calibri" w:hAnsi="Calibri"/>
                <w:sz w:val="22"/>
              </w:rPr>
              <w:t>$3,916M</w:t>
            </w:r>
          </w:p>
        </w:tc>
        <w:tc>
          <w:tcPr>
            <w:tcW w:type="dxa" w:w="1728"/>
          </w:tcPr>
          <w:p>
            <w:r>
              <w:rPr>
                <w:rFonts w:ascii="Calibri" w:hAnsi="Calibri"/>
                <w:sz w:val="22"/>
              </w:rPr>
              <w:t>−2.5%</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$4,047M</w:t>
            </w:r>
          </w:p>
        </w:tc>
        <w:tc>
          <w:tcPr>
            <w:tcW w:type="dxa" w:w="1728"/>
          </w:tcPr>
          <w:p>
            <w:r>
              <w:rPr>
                <w:rFonts w:ascii="Calibri" w:hAnsi="Calibri"/>
                <w:sz w:val="22"/>
              </w:rPr>
              <w:t>$3,829M</w:t>
            </w:r>
          </w:p>
        </w:tc>
        <w:tc>
          <w:tcPr>
            <w:tcW w:type="dxa" w:w="1728"/>
          </w:tcPr>
          <w:p>
            <w:r>
              <w:rPr>
                <w:rFonts w:ascii="Calibri" w:hAnsi="Calibri"/>
                <w:sz w:val="22"/>
              </w:rPr>
              <w:t>+5.7%</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$3,781M</w:t>
            </w:r>
          </w:p>
        </w:tc>
        <w:tc>
          <w:tcPr>
            <w:tcW w:type="dxa" w:w="1728"/>
          </w:tcPr>
          <w:p>
            <w:r>
              <w:rPr>
                <w:rFonts w:ascii="Calibri" w:hAnsi="Calibri"/>
                <w:sz w:val="22"/>
              </w:rPr>
              <w:t>$3,941M</w:t>
            </w:r>
          </w:p>
        </w:tc>
        <w:tc>
          <w:tcPr>
            <w:tcW w:type="dxa" w:w="1728"/>
          </w:tcPr>
          <w:p>
            <w:r>
              <w:rPr>
                <w:rFonts w:ascii="Calibri" w:hAnsi="Calibri"/>
                <w:sz w:val="22"/>
              </w:rPr>
              <w:t>−4.1%</w:t>
            </w:r>
          </w:p>
        </w:tc>
        <w:tc>
          <w:tcPr>
            <w:tcW w:type="dxa" w:w="1728"/>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ACGL has beaten operating EPS consensus in 7 of the last 8 quarters, often by wide margins, driven by favorable prior-year development and lower-than-expected cat losses. Net premiums written, however, has missed consensus in 6 of the last 8 quarters, reflecting persistent top-line headwinds from competitive market conditions and deliberate underwriting discipline. The market has largely learned to look through NPW misses if EPS beats.</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formal numerical guidance has been revised since the Q1 2026 earnings call (April 28–29, 2026). The only post-Q1 corporate event was a senior notes tender offer (June 15–16, 2026), which was a capital structure action with no operational guidance implications. Management's tone on the Q1 call was constructive but explicitly more cautious on property-cat pricing and top-line growth than in prior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Operating EPS</w:t>
            </w:r>
          </w:p>
        </w:tc>
        <w:tc>
          <w:tcPr>
            <w:tcW w:type="dxa" w:w="1728"/>
          </w:tcPr>
          <w:p>
            <w:r>
              <w:rPr>
                <w:rFonts w:ascii="Calibri" w:hAnsi="Calibri"/>
                <w:sz w:val="22"/>
              </w:rPr>
              <w:t>No explicit guidance; mgmt. targets mid-to-high teens operating ROE through the cycle</w:t>
            </w:r>
          </w:p>
        </w:tc>
        <w:tc>
          <w:tcPr>
            <w:tcW w:type="dxa" w:w="1728"/>
          </w:tcPr>
          <w:p>
            <w:r>
              <w:rPr>
                <w:rFonts w:ascii="Calibri" w:hAnsi="Calibri"/>
                <w:sz w:val="22"/>
              </w:rPr>
              <w:t>—</w:t>
            </w:r>
          </w:p>
        </w:tc>
        <w:tc>
          <w:tcPr>
            <w:tcW w:type="dxa" w:w="1728"/>
          </w:tcPr>
          <w:p>
            <w:r>
              <w:rPr>
                <w:rFonts w:ascii="Calibri" w:hAnsi="Calibri"/>
                <w:sz w:val="22"/>
              </w:rPr>
              <w:t>$2.47 (Q2 2026); $9.28 (FY2026)</w:t>
            </w:r>
          </w:p>
        </w:tc>
        <w:tc>
          <w:tcPr>
            <w:tcW w:type="dxa" w:w="1728"/>
          </w:tcPr>
          <w:p>
            <w:r>
              <w:rPr>
                <w:rFonts w:ascii="Calibri" w:hAnsi="Calibri"/>
                <w:sz w:val="22"/>
              </w:rPr>
              <w:t>No post-Q1 update; tone unchanged</w:t>
            </w:r>
          </w:p>
        </w:tc>
      </w:tr>
      <w:tr>
        <w:tc>
          <w:tcPr>
            <w:tcW w:type="dxa" w:w="1728"/>
          </w:tcPr>
          <w:p>
            <w:r>
              <w:rPr>
                <w:rFonts w:ascii="Calibri" w:hAnsi="Calibri"/>
                <w:sz w:val="22"/>
              </w:rPr>
              <w:t>Net Premiums Written</w:t>
            </w:r>
          </w:p>
        </w:tc>
        <w:tc>
          <w:tcPr>
            <w:tcW w:type="dxa" w:w="1728"/>
          </w:tcPr>
          <w:p>
            <w:r>
              <w:rPr>
                <w:rFonts w:ascii="Calibri" w:hAnsi="Calibri"/>
                <w:sz w:val="22"/>
              </w:rPr>
              <w:t>No explicit guidance; mgmt. flagged "huge headwinds" from double-digit property-cat rate declines and MCE non-renewals earning through</w:t>
            </w:r>
          </w:p>
        </w:tc>
        <w:tc>
          <w:tcPr>
            <w:tcW w:type="dxa" w:w="1728"/>
          </w:tcPr>
          <w:p>
            <w:r>
              <w:rPr>
                <w:rFonts w:ascii="Calibri" w:hAnsi="Calibri"/>
                <w:sz w:val="22"/>
              </w:rPr>
              <w:t>—</w:t>
            </w:r>
          </w:p>
        </w:tc>
        <w:tc>
          <w:tcPr>
            <w:tcW w:type="dxa" w:w="1728"/>
          </w:tcPr>
          <w:p>
            <w:r>
              <w:rPr>
                <w:rFonts w:ascii="Calibri" w:hAnsi="Calibri"/>
                <w:sz w:val="22"/>
              </w:rPr>
              <w:t>$4,217M (Q2 2026); $16,165M (FY2026)</w:t>
            </w:r>
          </w:p>
        </w:tc>
        <w:tc>
          <w:tcPr>
            <w:tcW w:type="dxa" w:w="1728"/>
          </w:tcPr>
          <w:p>
            <w:r>
              <w:rPr>
                <w:rFonts w:ascii="Calibri" w:hAnsi="Calibri"/>
                <w:sz w:val="22"/>
              </w:rPr>
              <w:t>No post-Q1 update; headwinds remain in place</w:t>
            </w:r>
          </w:p>
        </w:tc>
      </w:tr>
      <w:tr>
        <w:tc>
          <w:tcPr>
            <w:tcW w:type="dxa" w:w="1728"/>
          </w:tcPr>
          <w:p>
            <w:r>
              <w:rPr>
                <w:rFonts w:ascii="Calibri" w:hAnsi="Calibri"/>
                <w:sz w:val="22"/>
              </w:rPr>
              <w:t>Ex-Cat Combined Ratio (Ins. &amp; Reinsr.)</w:t>
            </w:r>
          </w:p>
        </w:tc>
        <w:tc>
          <w:tcPr>
            <w:tcW w:type="dxa" w:w="1728"/>
          </w:tcPr>
          <w:p>
            <w:r>
              <w:rPr>
                <w:rFonts w:ascii="Calibri" w:hAnsi="Calibri"/>
                <w:sz w:val="22"/>
              </w:rPr>
              <w:t>Mgmt. stated margins "sustainable at least for the near future" with rates just below trend; ex-cat accident year CR of 82.3% in Q1 2026</w:t>
            </w:r>
          </w:p>
        </w:tc>
        <w:tc>
          <w:tcPr>
            <w:tcW w:type="dxa" w:w="1728"/>
          </w:tcPr>
          <w:p>
            <w:r>
              <w:rPr>
                <w:rFonts w:ascii="Calibri" w:hAnsi="Calibri"/>
                <w:sz w:val="22"/>
              </w:rPr>
              <w:t>—</w:t>
            </w:r>
          </w:p>
        </w:tc>
        <w:tc>
          <w:tcPr>
            <w:tcW w:type="dxa" w:w="1728"/>
          </w:tcPr>
          <w:p>
            <w:r>
              <w:rPr>
                <w:rFonts w:ascii="Calibri" w:hAnsi="Calibri"/>
                <w:sz w:val="22"/>
              </w:rPr>
              <w:t>86.1% (Q2 2026); 86.0% (FY2026)</w:t>
            </w:r>
          </w:p>
        </w:tc>
        <w:tc>
          <w:tcPr>
            <w:tcW w:type="dxa" w:w="1728"/>
          </w:tcPr>
          <w:p>
            <w:r>
              <w:rPr>
                <w:rFonts w:ascii="Calibri" w:hAnsi="Calibri"/>
                <w:sz w:val="22"/>
              </w:rPr>
              <w:t>No post-Q1 update; competitive softening acknowledged</w:t>
            </w:r>
          </w:p>
        </w:tc>
      </w:tr>
      <w:tr>
        <w:tc>
          <w:tcPr>
            <w:tcW w:type="dxa" w:w="1728"/>
          </w:tcPr>
          <w:p>
            <w:r>
              <w:rPr>
                <w:rFonts w:ascii="Calibri" w:hAnsi="Calibri"/>
                <w:sz w:val="22"/>
              </w:rPr>
              <w:t>Operating Expense Ratio (Insurance Segment)</w:t>
            </w:r>
          </w:p>
        </w:tc>
        <w:tc>
          <w:tcPr>
            <w:tcW w:type="dxa" w:w="1728"/>
          </w:tcPr>
          <w:p>
            <w:r>
              <w:rPr>
                <w:rFonts w:ascii="Calibri" w:hAnsi="Calibri"/>
                <w:sz w:val="22"/>
              </w:rPr>
              <w:t>Elevated in Q1 2026 due to MCE systems cutover transitional costs; expected to "revert back to a level closer to historical levels during the second half of the year"</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Key watch item for Q2 — normalization expected in H2 2026</w:t>
            </w:r>
          </w:p>
        </w:tc>
      </w:tr>
      <w:tr>
        <w:tc>
          <w:tcPr>
            <w:tcW w:type="dxa" w:w="1728"/>
          </w:tcPr>
          <w:p>
            <w:r>
              <w:rPr>
                <w:rFonts w:ascii="Calibri" w:hAnsi="Calibri"/>
                <w:sz w:val="22"/>
              </w:rPr>
              <w:t>Capital Return / Share Repurchases</w:t>
            </w:r>
          </w:p>
        </w:tc>
        <w:tc>
          <w:tcPr>
            <w:tcW w:type="dxa" w:w="1728"/>
          </w:tcPr>
          <w:p>
            <w:r>
              <w:rPr>
                <w:rFonts w:ascii="Calibri" w:hAnsi="Calibri"/>
                <w:sz w:val="22"/>
              </w:rPr>
              <w:t>$783M repurchased in Q1 2026; additional $311M repurchased in Q2 through April 29; Board authorized additional $3B (total $6B authorization); mgmt. confirmed no structural limitations beyond regulatory constraints</w:t>
            </w:r>
          </w:p>
        </w:tc>
        <w:tc>
          <w:tcPr>
            <w:tcW w:type="dxa" w:w="1728"/>
          </w:tcPr>
          <w:p>
            <w:r>
              <w:rPr>
                <w:rFonts w:ascii="Calibri" w:hAnsi="Calibri"/>
                <w:sz w:val="22"/>
              </w:rPr>
              <w:t>—</w:t>
            </w:r>
          </w:p>
        </w:tc>
        <w:tc>
          <w:tcPr>
            <w:tcW w:type="dxa" w:w="1728"/>
          </w:tcPr>
          <w:p>
            <w:r>
              <w:rPr>
                <w:rFonts w:ascii="Calibri" w:hAnsi="Calibri"/>
                <w:sz w:val="22"/>
              </w:rPr>
              <w:t>N/A — no consensus estimate</w:t>
            </w:r>
          </w:p>
        </w:tc>
        <w:tc>
          <w:tcPr>
            <w:tcW w:type="dxa" w:w="1728"/>
          </w:tcPr>
          <w:p>
            <w:r>
              <w:rPr>
                <w:rFonts w:ascii="Calibri" w:hAnsi="Calibri"/>
                <w:sz w:val="22"/>
              </w:rPr>
              <w:t>Buyback pace is a key earnings driver; watch for Q2 repurchase total</w:t>
            </w:r>
          </w:p>
        </w:tc>
      </w:tr>
      <w:tr>
        <w:tc>
          <w:tcPr>
            <w:tcW w:type="dxa" w:w="1728"/>
          </w:tcPr>
          <w:p>
            <w:r>
              <w:rPr>
                <w:rFonts w:ascii="Calibri" w:hAnsi="Calibri"/>
                <w:sz w:val="22"/>
              </w:rPr>
              <w:t>Property-Cat Mid-Year Renewals (6/1 &amp; 7/1)</w:t>
            </w:r>
          </w:p>
        </w:tc>
        <w:tc>
          <w:tcPr>
            <w:tcW w:type="dxa" w:w="1728"/>
          </w:tcPr>
          <w:p>
            <w:r>
              <w:rPr>
                <w:rFonts w:ascii="Calibri" w:hAnsi="Calibri"/>
                <w:sz w:val="22"/>
              </w:rPr>
              <w:t>Mgmt. expected market to "remain competitive" at 6/1; PML changes expected at 7/1 depending on actual rate outcomes; Florida retained and grown modestly at 4/1</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RNR confirmed property-cat rates "down high teens" at mid-year — consistent with ACGL's cautious framing</w:t>
            </w:r>
          </w:p>
        </w:tc>
      </w:tr>
      <w:tr>
        <w:tc>
          <w:tcPr>
            <w:tcW w:type="dxa" w:w="1728"/>
          </w:tcPr>
          <w:p>
            <w:r>
              <w:rPr>
                <w:rFonts w:ascii="Calibri" w:hAnsi="Calibri"/>
                <w:sz w:val="22"/>
              </w:rPr>
              <w:t>Iran Conflict Losses</w:t>
            </w:r>
          </w:p>
        </w:tc>
        <w:tc>
          <w:tcPr>
            <w:tcW w:type="dxa" w:w="1728"/>
          </w:tcPr>
          <w:p>
            <w:r>
              <w:rPr>
                <w:rFonts w:ascii="Calibri" w:hAnsi="Calibri"/>
                <w:sz w:val="22"/>
              </w:rPr>
              <w:t>Q1 2026 cat load included Iran conflict losses; mgmt. stated "we do expect more losses to come through in the second quarter"</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Key Q2 wildcard; magnitude unknown but mgmt. flagged explicitly</w:t>
            </w:r>
          </w:p>
        </w:tc>
      </w:tr>
    </w:tbl>
    <w:p>
      <w:r>
        <w:rPr>
          <w:rFonts w:ascii="Calibri" w:hAnsi="Calibri"/>
          <w:color w:val="525866"/>
          <w:sz w:val="22"/>
        </w:rPr>
        <w:t>Sources: ACGL Q1 2026 Earnings Call Transcript (April 29, 2026); ACGL Q1 2026 Earnings Release (April 28, 2026); ACGL 8-K (June 15–16, 2026 — senior notes tender offer, no operational guidance);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EPS have been essentially flat since the Q1 print, with a slight uptick in July (likely driven by peer beats from CB, TRV, and RNR), while net premiums written estimates have been trimmed modestly — the Street is pricing in continued top-line pressure but not a collapse. FY2026 EPS estimates have drifted slightly lower since Q1, consistent with the more competitive underwriting environment management flagged.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$2.41</w:t>
            </w:r>
          </w:p>
        </w:tc>
        <w:tc>
          <w:tcPr>
            <w:tcW w:type="dxa" w:w="1080"/>
          </w:tcPr>
          <w:p>
            <w:r>
              <w:rPr>
                <w:rFonts w:ascii="Calibri" w:hAnsi="Calibri"/>
                <w:sz w:val="22"/>
              </w:rPr>
              <w:t>$2.47</w:t>
            </w:r>
          </w:p>
        </w:tc>
        <w:tc>
          <w:tcPr>
            <w:tcW w:type="dxa" w:w="1080"/>
          </w:tcPr>
          <w:p>
            <w:r>
              <w:rPr>
                <w:rFonts w:ascii="Calibri" w:hAnsi="Calibri"/>
                <w:b/>
                <w:color w:val="30A46C"/>
                <w:sz w:val="22"/>
              </w:rPr>
              <w:t>+2.5%</w:t>
            </w:r>
          </w:p>
        </w:tc>
        <w:tc>
          <w:tcPr>
            <w:tcW w:type="dxa" w:w="1080"/>
          </w:tcPr>
          <w:p>
            <w:r>
              <w:rPr>
                <w:rFonts w:ascii="Calibri" w:hAnsi="Calibri"/>
                <w:sz w:val="22"/>
              </w:rPr>
              <w:t>No explicit guidance; mid-to-high teens ROE target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$9.35</w:t>
            </w:r>
          </w:p>
        </w:tc>
        <w:tc>
          <w:tcPr>
            <w:tcW w:type="dxa" w:w="1080"/>
          </w:tcPr>
          <w:p>
            <w:r>
              <w:rPr>
                <w:rFonts w:ascii="Calibri" w:hAnsi="Calibri"/>
                <w:sz w:val="22"/>
              </w:rPr>
              <w:t>$9.28</w:t>
            </w:r>
          </w:p>
        </w:tc>
        <w:tc>
          <w:tcPr>
            <w:tcW w:type="dxa" w:w="1080"/>
          </w:tcPr>
          <w:p>
            <w:r>
              <w:rPr>
                <w:rFonts w:ascii="Calibri" w:hAnsi="Calibri"/>
                <w:b/>
                <w:color w:val="E5484D"/>
                <w:sz w:val="22"/>
              </w:rPr>
              <w:t>−0.7%</w:t>
            </w:r>
          </w:p>
        </w:tc>
        <w:tc>
          <w:tcPr>
            <w:tcW w:type="dxa" w:w="1080"/>
          </w:tcPr>
          <w:p>
            <w:r>
              <w:rPr>
                <w:rFonts w:ascii="Calibri" w:hAnsi="Calibri"/>
                <w:sz w:val="22"/>
              </w:rPr>
              <w:t>No explicit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Premiums Written — Q2 2026</w:t>
            </w:r>
          </w:p>
        </w:tc>
        <w:tc>
          <w:tcPr>
            <w:tcW w:type="dxa" w:w="1080"/>
          </w:tcPr>
          <w:p>
            <w:r>
              <w:rPr>
                <w:rFonts w:ascii="Calibri" w:hAnsi="Calibri"/>
                <w:sz w:val="22"/>
              </w:rPr>
              <w:t>$4,272M</w:t>
            </w:r>
          </w:p>
        </w:tc>
        <w:tc>
          <w:tcPr>
            <w:tcW w:type="dxa" w:w="1080"/>
          </w:tcPr>
          <w:p>
            <w:r>
              <w:rPr>
                <w:rFonts w:ascii="Calibri" w:hAnsi="Calibri"/>
                <w:sz w:val="22"/>
              </w:rPr>
              <w:t>$4,217M</w:t>
            </w:r>
          </w:p>
        </w:tc>
        <w:tc>
          <w:tcPr>
            <w:tcW w:type="dxa" w:w="1080"/>
          </w:tcPr>
          <w:p>
            <w:r>
              <w:rPr>
                <w:rFonts w:ascii="Calibri" w:hAnsi="Calibri"/>
                <w:b/>
                <w:color w:val="E5484D"/>
                <w:sz w:val="22"/>
              </w:rPr>
              <w:t>−1.3%</w:t>
            </w:r>
          </w:p>
        </w:tc>
        <w:tc>
          <w:tcPr>
            <w:tcW w:type="dxa" w:w="1080"/>
          </w:tcPr>
          <w:p>
            <w:r>
              <w:rPr>
                <w:rFonts w:ascii="Calibri" w:hAnsi="Calibri"/>
                <w:sz w:val="22"/>
              </w:rPr>
              <w:t>"Huge headwinds" from double-digit property-cat rate declines; MCE non-renewals earning through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below mgmt. tone (headwinds acknowledged)</w:t>
            </w:r>
          </w:p>
        </w:tc>
      </w:tr>
      <w:tr>
        <w:tc>
          <w:tcPr>
            <w:tcW w:type="dxa" w:w="1080"/>
          </w:tcPr>
          <w:p>
            <w:r>
              <w:rPr>
                <w:rFonts w:ascii="Calibri" w:hAnsi="Calibri"/>
                <w:sz w:val="22"/>
              </w:rPr>
              <w:t>Net Premiums Written — FY2026</w:t>
            </w:r>
          </w:p>
        </w:tc>
        <w:tc>
          <w:tcPr>
            <w:tcW w:type="dxa" w:w="1080"/>
          </w:tcPr>
          <w:p>
            <w:r>
              <w:rPr>
                <w:rFonts w:ascii="Calibri" w:hAnsi="Calibri"/>
                <w:sz w:val="22"/>
              </w:rPr>
              <w:t>$16,261M</w:t>
            </w:r>
          </w:p>
        </w:tc>
        <w:tc>
          <w:tcPr>
            <w:tcW w:type="dxa" w:w="1080"/>
          </w:tcPr>
          <w:p>
            <w:r>
              <w:rPr>
                <w:rFonts w:ascii="Calibri" w:hAnsi="Calibri"/>
                <w:sz w:val="22"/>
              </w:rPr>
              <w:t>$16,165M</w:t>
            </w:r>
          </w:p>
        </w:tc>
        <w:tc>
          <w:tcPr>
            <w:tcW w:type="dxa" w:w="1080"/>
          </w:tcPr>
          <w:p>
            <w:r>
              <w:rPr>
                <w:rFonts w:ascii="Calibri" w:hAnsi="Calibri"/>
                <w:b/>
                <w:color w:val="E5484D"/>
                <w:sz w:val="22"/>
              </w:rPr>
              <w:t>−0.6%</w:t>
            </w:r>
          </w:p>
        </w:tc>
        <w:tc>
          <w:tcPr>
            <w:tcW w:type="dxa" w:w="1080"/>
          </w:tcPr>
          <w:p>
            <w:r>
              <w:rPr>
                <w:rFonts w:ascii="Calibri" w:hAnsi="Calibri"/>
                <w:sz w:val="22"/>
              </w:rPr>
              <w:t>No explicit guidance; competitive market acknowledged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Ex-Cat Combined Ratio (Ins. &amp; Reinsr.) — Q2 2026</w:t>
            </w:r>
          </w:p>
        </w:tc>
        <w:tc>
          <w:tcPr>
            <w:tcW w:type="dxa" w:w="1080"/>
          </w:tcPr>
          <w:p>
            <w:r>
              <w:rPr>
                <w:rFonts w:ascii="Calibri" w:hAnsi="Calibri"/>
                <w:sz w:val="22"/>
              </w:rPr>
              <w:t>85.9%</w:t>
            </w:r>
          </w:p>
        </w:tc>
        <w:tc>
          <w:tcPr>
            <w:tcW w:type="dxa" w:w="1080"/>
          </w:tcPr>
          <w:p>
            <w:r>
              <w:rPr>
                <w:rFonts w:ascii="Calibri" w:hAnsi="Calibri"/>
                <w:sz w:val="22"/>
              </w:rPr>
              <w:t>86.1%</w:t>
            </w:r>
          </w:p>
        </w:tc>
        <w:tc>
          <w:tcPr>
            <w:tcW w:type="dxa" w:w="1080"/>
          </w:tcPr>
          <w:p>
            <w:r>
              <w:rPr>
                <w:rFonts w:ascii="Calibri" w:hAnsi="Calibri"/>
                <w:b/>
                <w:color w:val="E5484D"/>
                <w:sz w:val="22"/>
              </w:rPr>
              <w:t>+20 bps</w:t>
            </w:r>
          </w:p>
        </w:tc>
        <w:tc>
          <w:tcPr>
            <w:tcW w:type="dxa" w:w="1080"/>
          </w:tcPr>
          <w:p>
            <w:r>
              <w:rPr>
                <w:rFonts w:ascii="Calibri" w:hAnsi="Calibri"/>
                <w:sz w:val="22"/>
              </w:rPr>
              <w:t>Margins "sustainable at least for the near future"; rates just below trend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Ex-Cat Combined Ratio (Ins. &amp; Reinsr.) — FY2026</w:t>
            </w:r>
          </w:p>
        </w:tc>
        <w:tc>
          <w:tcPr>
            <w:tcW w:type="dxa" w:w="1080"/>
          </w:tcPr>
          <w:p>
            <w:r>
              <w:rPr>
                <w:rFonts w:ascii="Calibri" w:hAnsi="Calibri"/>
                <w:sz w:val="22"/>
              </w:rPr>
              <w:t>85.9%</w:t>
            </w:r>
          </w:p>
        </w:tc>
        <w:tc>
          <w:tcPr>
            <w:tcW w:type="dxa" w:w="1080"/>
          </w:tcPr>
          <w:p>
            <w:r>
              <w:rPr>
                <w:rFonts w:ascii="Calibri" w:hAnsi="Calibri"/>
                <w:sz w:val="22"/>
              </w:rPr>
              <w:t>86.0%</w:t>
            </w:r>
          </w:p>
        </w:tc>
        <w:tc>
          <w:tcPr>
            <w:tcW w:type="dxa" w:w="1080"/>
          </w:tcPr>
          <w:p>
            <w:r>
              <w:rPr>
                <w:rFonts w:ascii="Calibri" w:hAnsi="Calibri"/>
                <w:b/>
                <w:color w:val="E5484D"/>
                <w:sz w:val="22"/>
              </w:rPr>
              <w:t>+10 bps</w:t>
            </w:r>
          </w:p>
        </w:tc>
        <w:tc>
          <w:tcPr>
            <w:tcW w:type="dxa" w:w="1080"/>
          </w:tcPr>
          <w:p>
            <w:r>
              <w:rPr>
                <w:rFonts w:ascii="Calibri" w:hAnsi="Calibri"/>
                <w:sz w:val="22"/>
              </w:rPr>
              <w:t>No explicit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are broadly tracking management's qualitative guidance: EPS estimates have been stable-to-slightly-higher since Q1 (aided by peer beats), while NPW estimates have been trimmed modestly, consistent with management's explicit acknowledgment of top-line headwinds. The gap between EPS stability and NPW weakness reflects the market's expectation that Arch will again offset volume pressure with favorable prior-year development and disciplined expense management.</w:t>
      </w:r>
    </w:p>
    <w:p>
      <w:r>
        <w:rPr>
          <w:rFonts w:ascii="Calibri" w:hAnsi="Calibri"/>
          <w:color w:val="525866"/>
          <w:sz w:val="22"/>
        </w:rPr>
        <w:t>Source: Visible Alpha Consensus and Actuals Data (build_va_revision_history_table, weekly frequency, May 8 – July 28, 2026); ACGL Q1 2026 Earnings Call Transcript.</w:t>
      </w:r>
    </w:p>
    <w:p>
      <w:r>
        <w:br w:type="page"/>
      </w:r>
    </w:p>
    <w:p>
      <w:pPr>
        <w:pStyle w:val="Heading2"/>
      </w:pPr>
      <w:r>
        <w:rPr>
          <w:rFonts w:ascii="Calibri" w:hAnsi="Calibri"/>
          <w:b/>
          <w:color w:val="3B4259"/>
          <w:sz w:val="28"/>
        </w:rPr>
        <w:t>5. Stock Performance &amp; Valuation</w:t>
      </w:r>
    </w:p>
    <w:p>
      <w:r>
        <w:rPr>
          <w:rFonts w:ascii="Calibri" w:hAnsi="Calibri"/>
          <w:b/>
          <w:color w:val="525866"/>
          <w:sz w:val="22"/>
        </w:rPr>
        <w:t xml:space="preserve">Key Takeaway: </w:t>
      </w:r>
      <w:r>
        <w:rPr>
          <w:rFonts w:ascii="Calibri" w:hAnsi="Calibri"/>
          <w:color w:val="525866"/>
          <w:sz w:val="22"/>
        </w:rPr>
        <w:t>The stock's +10% rally over the past month is primarily multiple expansion (+9% on P/E, +8.5% on EV/Sales) rather than estimate-driven, suggesting sentiment and sector rotation are the primary drivers; the stock is not expensive at ~10.8x NTM P/E but has priced in a benign quarter.</w:t>
      </w:r>
    </w:p>
    <w:p>
      <w:pPr>
        <w:pStyle w:val="Heading3"/>
      </w:pPr>
      <w:r>
        <w:rPr>
          <w:rFonts w:ascii="Calibri" w:hAnsi="Calibri"/>
          <w:b/>
          <w:color w:val="3B4259"/>
          <w:sz w:val="24"/>
        </w:rPr>
        <w:t>Valuation Snapshot (as of July 27, 2026)</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Metric</w:t>
            </w:r>
          </w:p>
        </w:tc>
        <w:tc>
          <w:tcPr>
            <w:tcW w:type="dxa" w:w="1440"/>
            <w:shd w:val="clear" w:color="auto" w:fill="3B4259"/>
          </w:tcPr>
          <w:p>
            <w:r>
              <w:rPr>
                <w:rFonts w:ascii="Calibri" w:hAnsi="Calibri"/>
                <w:b/>
                <w:color w:val="FFFFFF"/>
                <w:sz w:val="22"/>
              </w:rPr>
              <w:t>Current (NTM)</w:t>
            </w:r>
          </w:p>
        </w:tc>
        <w:tc>
          <w:tcPr>
            <w:tcW w:type="dxa" w:w="1440"/>
            <w:shd w:val="clear" w:color="auto" w:fill="3B4259"/>
          </w:tcPr>
          <w:p>
            <w:r>
              <w:rPr>
                <w:rFonts w:ascii="Calibri" w:hAnsi="Calibri"/>
                <w:b/>
                <w:color w:val="FFFFFF"/>
                <w:sz w:val="22"/>
              </w:rPr>
              <w:t>1M Ago</w:t>
            </w:r>
          </w:p>
        </w:tc>
        <w:tc>
          <w:tcPr>
            <w:tcW w:type="dxa" w:w="1440"/>
            <w:shd w:val="clear" w:color="auto" w:fill="3B4259"/>
          </w:tcPr>
          <w:p>
            <w:r>
              <w:rPr>
                <w:rFonts w:ascii="Calibri" w:hAnsi="Calibri"/>
                <w:b/>
                <w:color w:val="FFFFFF"/>
                <w:sz w:val="22"/>
              </w:rPr>
              <w:t>3M Ago</w:t>
            </w:r>
          </w:p>
        </w:tc>
        <w:tc>
          <w:tcPr>
            <w:tcW w:type="dxa" w:w="1440"/>
            <w:shd w:val="clear" w:color="auto" w:fill="3B4259"/>
          </w:tcPr>
          <w:p>
            <w:r>
              <w:rPr>
                <w:rFonts w:ascii="Calibri" w:hAnsi="Calibri"/>
                <w:b/>
                <w:color w:val="FFFFFF"/>
                <w:sz w:val="22"/>
              </w:rPr>
              <w:t>6M Ago</w:t>
            </w:r>
          </w:p>
        </w:tc>
        <w:tc>
          <w:tcPr>
            <w:tcW w:type="dxa" w:w="1440"/>
            <w:shd w:val="clear" w:color="auto" w:fill="3B4259"/>
          </w:tcPr>
          <w:p>
            <w:r>
              <w:rPr>
                <w:rFonts w:ascii="Calibri" w:hAnsi="Calibri"/>
                <w:b/>
                <w:color w:val="FFFFFF"/>
                <w:sz w:val="22"/>
              </w:rPr>
              <w:t>12M Ago</w:t>
            </w:r>
          </w:p>
        </w:tc>
      </w:tr>
      <w:tr>
        <w:tc>
          <w:tcPr>
            <w:tcW w:type="dxa" w:w="1440"/>
          </w:tcPr>
          <w:p>
            <w:r>
              <w:rPr>
                <w:rFonts w:ascii="Calibri" w:hAnsi="Calibri"/>
                <w:sz w:val="22"/>
              </w:rPr>
              <w:t>Price / Earnings (NTM)</w:t>
            </w:r>
          </w:p>
        </w:tc>
        <w:tc>
          <w:tcPr>
            <w:tcW w:type="dxa" w:w="1440"/>
          </w:tcPr>
          <w:p>
            <w:r>
              <w:rPr>
                <w:rFonts w:ascii="Calibri" w:hAnsi="Calibri"/>
                <w:sz w:val="22"/>
              </w:rPr>
              <w:t>10.8x</w:t>
            </w:r>
          </w:p>
        </w:tc>
        <w:tc>
          <w:tcPr>
            <w:tcW w:type="dxa" w:w="1440"/>
          </w:tcPr>
          <w:p>
            <w:r>
              <w:rPr>
                <w:rFonts w:ascii="Calibri" w:hAnsi="Calibri"/>
                <w:sz w:val="22"/>
              </w:rPr>
              <w:t>9.9x</w:t>
            </w:r>
          </w:p>
        </w:tc>
        <w:tc>
          <w:tcPr>
            <w:tcW w:type="dxa" w:w="1440"/>
          </w:tcPr>
          <w:p>
            <w:r>
              <w:rPr>
                <w:rFonts w:ascii="Calibri" w:hAnsi="Calibri"/>
                <w:sz w:val="22"/>
              </w:rPr>
              <w:t>10.1x</w:t>
            </w:r>
          </w:p>
        </w:tc>
        <w:tc>
          <w:tcPr>
            <w:tcW w:type="dxa" w:w="1440"/>
          </w:tcPr>
          <w:p>
            <w:r>
              <w:rPr>
                <w:rFonts w:ascii="Calibri" w:hAnsi="Calibri"/>
                <w:sz w:val="22"/>
              </w:rPr>
              <w:t>9.3x</w:t>
            </w:r>
          </w:p>
        </w:tc>
        <w:tc>
          <w:tcPr>
            <w:tcW w:type="dxa" w:w="1440"/>
          </w:tcPr>
          <w:p>
            <w:r>
              <w:rPr>
                <w:rFonts w:ascii="Calibri" w:hAnsi="Calibri"/>
                <w:sz w:val="22"/>
              </w:rPr>
              <w:t>9.9x</w:t>
            </w:r>
          </w:p>
        </w:tc>
      </w:tr>
      <w:tr>
        <w:tc>
          <w:tcPr>
            <w:tcW w:type="dxa" w:w="1440"/>
          </w:tcPr>
          <w:p>
            <w:r>
              <w:rPr>
                <w:rFonts w:ascii="Calibri" w:hAnsi="Calibri"/>
                <w:sz w:val="22"/>
              </w:rPr>
              <w:t>Price / Book Value (NTM)</w:t>
            </w:r>
          </w:p>
        </w:tc>
        <w:tc>
          <w:tcPr>
            <w:tcW w:type="dxa" w:w="1440"/>
          </w:tcPr>
          <w:p>
            <w:r>
              <w:rPr>
                <w:rFonts w:ascii="Calibri" w:hAnsi="Calibri"/>
                <w:sz w:val="22"/>
              </w:rPr>
              <w:t>1.35x</w:t>
            </w:r>
          </w:p>
        </w:tc>
        <w:tc>
          <w:tcPr>
            <w:tcW w:type="dxa" w:w="1440"/>
          </w:tcPr>
          <w:p>
            <w:r>
              <w:rPr>
                <w:rFonts w:ascii="Calibri" w:hAnsi="Calibri"/>
                <w:sz w:val="22"/>
              </w:rPr>
              <w:t>1.26x</w:t>
            </w:r>
          </w:p>
        </w:tc>
        <w:tc>
          <w:tcPr>
            <w:tcW w:type="dxa" w:w="1440"/>
          </w:tcPr>
          <w:p>
            <w:r>
              <w:rPr>
                <w:rFonts w:ascii="Calibri" w:hAnsi="Calibri"/>
                <w:sz w:val="22"/>
              </w:rPr>
              <w:t>1.30x</w:t>
            </w:r>
          </w:p>
        </w:tc>
        <w:tc>
          <w:tcPr>
            <w:tcW w:type="dxa" w:w="1440"/>
          </w:tcPr>
          <w:p>
            <w:r>
              <w:rPr>
                <w:rFonts w:ascii="Calibri" w:hAnsi="Calibri"/>
                <w:sz w:val="22"/>
              </w:rPr>
              <w:t>1.27x</w:t>
            </w:r>
          </w:p>
        </w:tc>
        <w:tc>
          <w:tcPr>
            <w:tcW w:type="dxa" w:w="1440"/>
          </w:tcPr>
          <w:p>
            <w:r>
              <w:rPr>
                <w:rFonts w:ascii="Calibri" w:hAnsi="Calibri"/>
                <w:sz w:val="22"/>
              </w:rPr>
              <w:t>1.36x</w:t>
            </w:r>
          </w:p>
        </w:tc>
      </w:tr>
      <w:tr>
        <w:tc>
          <w:tcPr>
            <w:tcW w:type="dxa" w:w="1440"/>
          </w:tcPr>
          <w:p>
            <w:r>
              <w:rPr>
                <w:rFonts w:ascii="Calibri" w:hAnsi="Calibri"/>
                <w:sz w:val="22"/>
              </w:rPr>
              <w:t>EV / Sales (NTM)</w:t>
            </w:r>
          </w:p>
        </w:tc>
        <w:tc>
          <w:tcPr>
            <w:tcW w:type="dxa" w:w="1440"/>
          </w:tcPr>
          <w:p>
            <w:r>
              <w:rPr>
                <w:rFonts w:ascii="Calibri" w:hAnsi="Calibri"/>
                <w:sz w:val="22"/>
              </w:rPr>
              <w:t>2.07x</w:t>
            </w:r>
          </w:p>
        </w:tc>
        <w:tc>
          <w:tcPr>
            <w:tcW w:type="dxa" w:w="1440"/>
          </w:tcPr>
          <w:p>
            <w:r>
              <w:rPr>
                <w:rFonts w:ascii="Calibri" w:hAnsi="Calibri"/>
                <w:sz w:val="22"/>
              </w:rPr>
              <w:t>1.91x</w:t>
            </w:r>
          </w:p>
        </w:tc>
        <w:tc>
          <w:tcPr>
            <w:tcW w:type="dxa" w:w="1440"/>
          </w:tcPr>
          <w:p>
            <w:r>
              <w:rPr>
                <w:rFonts w:ascii="Calibri" w:hAnsi="Calibri"/>
                <w:sz w:val="22"/>
              </w:rPr>
              <w:t>1.95x</w:t>
            </w:r>
          </w:p>
        </w:tc>
        <w:tc>
          <w:tcPr>
            <w:tcW w:type="dxa" w:w="1440"/>
          </w:tcPr>
          <w:p>
            <w:r>
              <w:rPr>
                <w:rFonts w:ascii="Calibri" w:hAnsi="Calibri"/>
                <w:sz w:val="22"/>
              </w:rPr>
              <w:t>1.84x</w:t>
            </w:r>
          </w:p>
        </w:tc>
        <w:tc>
          <w:tcPr>
            <w:tcW w:type="dxa" w:w="1440"/>
          </w:tcPr>
          <w:p>
            <w:r>
              <w:rPr>
                <w:rFonts w:ascii="Calibri" w:hAnsi="Calibri"/>
                <w:sz w:val="22"/>
              </w:rPr>
              <w:t>1.81x</w:t>
            </w:r>
          </w:p>
        </w:tc>
      </w:tr>
      <w:tr>
        <w:tc>
          <w:tcPr>
            <w:tcW w:type="dxa" w:w="1440"/>
          </w:tcPr>
          <w:p>
            <w:r>
              <w:rPr>
                <w:rFonts w:ascii="Calibri" w:hAnsi="Calibri"/>
                <w:sz w:val="22"/>
              </w:rPr>
              <w:t>Price / Sales (NTM)</w:t>
            </w:r>
          </w:p>
        </w:tc>
        <w:tc>
          <w:tcPr>
            <w:tcW w:type="dxa" w:w="1440"/>
          </w:tcPr>
          <w:p>
            <w:r>
              <w:rPr>
                <w:rFonts w:ascii="Calibri" w:hAnsi="Calibri"/>
                <w:sz w:val="22"/>
              </w:rPr>
              <w:t>1.88x</w:t>
            </w:r>
          </w:p>
        </w:tc>
        <w:tc>
          <w:tcPr>
            <w:tcW w:type="dxa" w:w="1440"/>
          </w:tcPr>
          <w:p>
            <w:r>
              <w:rPr>
                <w:rFonts w:ascii="Calibri" w:hAnsi="Calibri"/>
                <w:sz w:val="22"/>
              </w:rPr>
              <w:t>1.73x</w:t>
            </w:r>
          </w:p>
        </w:tc>
        <w:tc>
          <w:tcPr>
            <w:tcW w:type="dxa" w:w="1440"/>
          </w:tcPr>
          <w:p>
            <w:r>
              <w:rPr>
                <w:rFonts w:ascii="Calibri" w:hAnsi="Calibri"/>
                <w:sz w:val="22"/>
              </w:rPr>
              <w:t>1.79x</w:t>
            </w:r>
          </w:p>
        </w:tc>
        <w:tc>
          <w:tcPr>
            <w:tcW w:type="dxa" w:w="1440"/>
          </w:tcPr>
          <w:p>
            <w:r>
              <w:rPr>
                <w:rFonts w:ascii="Calibri" w:hAnsi="Calibri"/>
                <w:sz w:val="22"/>
              </w:rPr>
              <w:t>1.69x</w:t>
            </w:r>
          </w:p>
        </w:tc>
        <w:tc>
          <w:tcPr>
            <w:tcW w:type="dxa" w:w="1440"/>
          </w:tcPr>
          <w:p>
            <w:r>
              <w:rPr>
                <w:rFonts w:ascii="Calibri" w:hAnsi="Calibri"/>
                <w:sz w:val="22"/>
              </w:rPr>
              <w:t>1.72x</w:t>
            </w:r>
          </w:p>
        </w:tc>
      </w:tr>
      <w:tr>
        <w:tc>
          <w:tcPr>
            <w:tcW w:type="dxa" w:w="1440"/>
          </w:tcPr>
          <w:p>
            <w:r>
              <w:rPr>
                <w:rFonts w:ascii="Calibri" w:hAnsi="Calibri"/>
                <w:sz w:val="22"/>
              </w:rPr>
              <w:t>Stock Price Change</w:t>
            </w:r>
          </w:p>
        </w:tc>
        <w:tc>
          <w:tcPr>
            <w:tcW w:type="dxa" w:w="1440"/>
          </w:tcPr>
          <w:p>
            <w:r>
              <w:rPr>
                <w:rFonts w:ascii="Calibri" w:hAnsi="Calibri"/>
                <w:sz w:val="22"/>
              </w:rPr>
              <w:t>—</w:t>
            </w:r>
          </w:p>
        </w:tc>
        <w:tc>
          <w:tcPr>
            <w:tcW w:type="dxa" w:w="1440"/>
          </w:tcPr>
          <w:p>
            <w:r>
              <w:rPr>
                <w:rFonts w:ascii="Calibri" w:hAnsi="Calibri"/>
                <w:sz w:val="22"/>
              </w:rPr>
              <w:t>+10.2%</w:t>
            </w:r>
          </w:p>
        </w:tc>
        <w:tc>
          <w:tcPr>
            <w:tcW w:type="dxa" w:w="1440"/>
          </w:tcPr>
          <w:p>
            <w:r>
              <w:rPr>
                <w:rFonts w:ascii="Calibri" w:hAnsi="Calibri"/>
                <w:sz w:val="22"/>
              </w:rPr>
              <w:t>+8.0%</w:t>
            </w:r>
          </w:p>
        </w:tc>
        <w:tc>
          <w:tcPr>
            <w:tcW w:type="dxa" w:w="1440"/>
          </w:tcPr>
          <w:p>
            <w:r>
              <w:rPr>
                <w:rFonts w:ascii="Calibri" w:hAnsi="Calibri"/>
                <w:sz w:val="22"/>
              </w:rPr>
              <w:t>+11.8%</w:t>
            </w:r>
          </w:p>
        </w:tc>
        <w:tc>
          <w:tcPr>
            <w:tcW w:type="dxa" w:w="1440"/>
          </w:tcPr>
          <w:p>
            <w:r>
              <w:rPr>
                <w:rFonts w:ascii="Calibri" w:hAnsi="Calibri"/>
                <w:sz w:val="22"/>
              </w:rPr>
              <w:t>+18.1%</w:t>
            </w:r>
          </w:p>
        </w:tc>
      </w:tr>
    </w:tbl>
    <w:p>
      <w:r>
        <w:rPr>
          <w:rFonts w:ascii="Calibri" w:hAnsi="Calibri"/>
          <w:b/>
          <w:color w:val="525866"/>
          <w:sz w:val="22"/>
        </w:rPr>
        <w:t xml:space="preserve">Performance decomposition: </w:t>
      </w:r>
      <w:r>
        <w:rPr>
          <w:rFonts w:ascii="Calibri" w:hAnsi="Calibri"/>
          <w:color w:val="525866"/>
          <w:sz w:val="22"/>
        </w:rPr>
        <w:t>Over the past month, ACGL's +10.2% price gain was driven predominantly by multiple expansion (+9.1% on P/E, +8.5% on EV/Sales), with only a modest contribution from estimate revisions. Over 12 months, the stock is up +18.1%, with roughly half attributable to multiple expansion and half to earnings growth. The stock trades at ~10.8x NTM P/E — a meaningful discount to historical averages and to the broader market, but consistent with the sector given moderating premium growth. At 1.35x P/B against a mid-teens operating ROE, the stock appears modestly undervalued on a fundamental basis, but the recent rally means a beat is partially priced in.</w:t>
      </w:r>
    </w:p>
    <w:p>
      <w:r>
        <w:rPr>
          <w:rFonts w:ascii="Calibri" w:hAnsi="Calibri"/>
          <w:color w:val="525866"/>
          <w:sz w:val="22"/>
        </w:rPr>
        <w:t>Source: Stock Performance Decomposition Data (snapshot July 27, 2026); NTM multiples from Visible Alpha.</w:t>
      </w:r>
    </w:p>
    <w:p>
      <w:r>
        <w:br w:type="page"/>
      </w:r>
    </w:p>
    <w:p>
      <w:pPr>
        <w:pStyle w:val="Heading2"/>
      </w:pPr>
      <w:r>
        <w:rPr>
          <w:rFonts w:ascii="Calibri" w:hAnsi="Calibri"/>
          <w:b/>
          <w:color w:val="3B4259"/>
          <w:sz w:val="28"/>
        </w:rPr>
        <w:t>6. Material News &amp; Developments Since Q1 2026 Earnings (April 28, 2026)</w:t>
      </w:r>
    </w:p>
    <w:p>
      <w:r>
        <w:rPr>
          <w:rFonts w:ascii="Calibri" w:hAnsi="Calibri"/>
          <w:b/>
          <w:color w:val="525866"/>
          <w:sz w:val="22"/>
        </w:rPr>
        <w:t xml:space="preserve">Key Takeaway: </w:t>
      </w:r>
      <w:r>
        <w:rPr>
          <w:rFonts w:ascii="Calibri" w:hAnsi="Calibri"/>
          <w:color w:val="525866"/>
          <w:sz w:val="22"/>
        </w:rPr>
        <w:t>The most important development since Q1 earnings is the confirmation from multiple peers (RNR, CB, TRV) that property-cat rates were down high-teens at mid-year renewals — consistent with management's cautious framing on the Q1 call and a direct headwind to ACGL's reinsurance segment top-line in Q2 and H2 2026.</w:t>
      </w:r>
    </w:p>
    <w:p>
      <w:pPr>
        <w:pStyle w:val="ListBullet"/>
        <w:ind w:left="360" w:hanging="360"/>
      </w:pPr>
      <w:r>
        <w:rPr>
          <w:rFonts w:ascii="Calibri" w:hAnsi="Calibri"/>
          <w:b/>
          <w:color w:val="525866"/>
          <w:sz w:val="22"/>
        </w:rPr>
        <w:t>June 15–16, 2026 — ACGL Senior Notes Tender Offer Completed:</w:t>
      </w:r>
      <w:r>
        <w:rPr>
          <w:rFonts w:ascii="Calibri" w:hAnsi="Calibri"/>
          <w:color w:val="525866"/>
          <w:sz w:val="22"/>
        </w:rPr>
        <w:t xml:space="preserve"> Arch Capital completed a cash tender offer for its outstanding 5.144% Senior Notes due 2043 (Arch Capital Group U.S. Inc.) and 5.031% Senior Notes due 2046 (Arch Capital Finance LLC), with the maximum amount increased to $417.85M. This is a capital structure optimization action — retiring higher-coupon legacy debt — with no direct operational guidance implications but modestly positive for interest expense going forward.</w:t>
      </w:r>
    </w:p>
    <w:p>
      <w:pPr>
        <w:pStyle w:val="ListBullet"/>
        <w:ind w:left="360" w:hanging="360"/>
      </w:pPr>
      <w:r>
        <w:rPr>
          <w:rFonts w:ascii="Calibri" w:hAnsi="Calibri"/>
          <w:b/>
          <w:color w:val="525866"/>
          <w:sz w:val="22"/>
        </w:rPr>
        <w:t>July 20, 2026 — ACGL Insider Form 144 Filed (Gansberg David):</w:t>
      </w:r>
      <w:r>
        <w:rPr>
          <w:rFonts w:ascii="Calibri" w:hAnsi="Calibri"/>
          <w:color w:val="525866"/>
          <w:sz w:val="22"/>
        </w:rPr>
        <w:t xml:space="preserve"> David Gansberg (senior executive) filed a Form 144 indicating intention to sell $7.63M in ACGL shares. This is a pre-planned sale notice; no Form 4 execution has been filed as of the preparation date. Not a red flag in isolation but worth monitoring.</w:t>
      </w:r>
    </w:p>
    <w:p>
      <w:pPr>
        <w:pStyle w:val="ListBullet"/>
        <w:ind w:left="360" w:hanging="360"/>
      </w:pPr>
      <w:r>
        <w:rPr>
          <w:rFonts w:ascii="Calibri" w:hAnsi="Calibri"/>
          <w:b/>
          <w:color w:val="525866"/>
          <w:sz w:val="22"/>
        </w:rPr>
        <w:t>July 22–23, 2026 — RenaissanceRe (RNR) Q2 2026 Earnings:</w:t>
      </w:r>
      <w:r>
        <w:rPr>
          <w:rFonts w:ascii="Calibri" w:hAnsi="Calibri"/>
          <w:color w:val="525866"/>
          <w:sz w:val="22"/>
        </w:rPr>
        <w:t xml:space="preserve"> RNR reported strong Q2 results (operating ROE of 20%, adjusted combined ratio of 72%). Critically for ACGL, RNR confirmed property-cat rates were "down high teens" at mid-year renewals, consistent with ACGL's Q1 guidance. RNR also flagged continued social inflation in casualty and reduced its general liability portfolio by 17%. Positive read-through on investment income (record $314M NII) and benign cat activity.</w:t>
      </w:r>
    </w:p>
    <w:p>
      <w:pPr>
        <w:pStyle w:val="ListBullet"/>
        <w:ind w:left="360" w:hanging="360"/>
      </w:pPr>
      <w:r>
        <w:rPr>
          <w:rFonts w:ascii="Calibri" w:hAnsi="Calibri"/>
          <w:b/>
          <w:color w:val="525866"/>
          <w:sz w:val="22"/>
        </w:rPr>
        <w:t>July 21–22, 2026 — Chubb (CB) Q2 2026 Earnings:</w:t>
      </w:r>
      <w:r>
        <w:rPr>
          <w:rFonts w:ascii="Calibri" w:hAnsi="Calibri"/>
          <w:color w:val="525866"/>
          <w:sz w:val="22"/>
        </w:rPr>
        <w:t xml:space="preserve"> Chubb reported Q2 EPS of $7.26, beating consensus of $6.75. Key read-throughs: property pricing down ~6% overall (down 12% in shared/layered), casualty loss costs rising 6–7% for primary and 9–12% for excess, and record adjusted NII of $1.88B (+11% YoY). Chubb explicitly warned that "soft market conditions have begun to spread beyond property to more casualty lines." Pre-tax cat losses of $475M for the quarter.</w:t>
      </w:r>
    </w:p>
    <w:p>
      <w:pPr>
        <w:pStyle w:val="ListBullet"/>
        <w:ind w:left="360" w:hanging="360"/>
      </w:pPr>
      <w:r>
        <w:rPr>
          <w:rFonts w:ascii="Calibri" w:hAnsi="Calibri"/>
          <w:b/>
          <w:color w:val="525866"/>
          <w:sz w:val="22"/>
        </w:rPr>
        <w:t>July 17, 2026 — Travelers (TRV) Q2 2026 Earnings:</w:t>
      </w:r>
      <w:r>
        <w:rPr>
          <w:rFonts w:ascii="Calibri" w:hAnsi="Calibri"/>
          <w:color w:val="525866"/>
          <w:sz w:val="22"/>
        </w:rPr>
        <w:t xml:space="preserve"> TRV reported Q2 adjusted EPS of $10.04, massively beating consensus of $5.41, driven by favorable prior-year development ($578M pre-tax) and strong investment income (+14% YoY to $883M after-tax). TRV reported after-tax cat losses of ~$400M. Positive read-through for ACGL on investment income trajectory and favorable reserve development potential. TRV also confirmed property pricing softening in national/large account lines while middle market held up.</w:t>
      </w:r>
    </w:p>
    <w:p>
      <w:pPr>
        <w:pStyle w:val="ListBullet"/>
        <w:ind w:left="360" w:hanging="360"/>
      </w:pPr>
      <w:r>
        <w:rPr>
          <w:rFonts w:ascii="Calibri" w:hAnsi="Calibri"/>
          <w:b/>
          <w:color w:val="525866"/>
          <w:sz w:val="22"/>
        </w:rPr>
        <w:t>July 22–23, 2026 — RLI Corp Q2 2026 Earnings:</w:t>
      </w:r>
      <w:r>
        <w:rPr>
          <w:rFonts w:ascii="Calibri" w:hAnsi="Calibri"/>
          <w:color w:val="525866"/>
          <w:sz w:val="22"/>
        </w:rPr>
        <w:t xml:space="preserve"> RLI reported property segment combined ratio of 56.8% on lighter cat activity. Confirmed ONS property market experiencing "heightened competition" with new markets entering and standard markets returning. Reinsurance market conditions described as "favorable, with stable coverage and rates flat to down." Casualty rates up 10% with favorable prior-year development of $39.8M. Positive read-through for ACGL's specialty casualty lines.</w:t>
      </w:r>
    </w:p>
    <w:p>
      <w:pPr>
        <w:pStyle w:val="ListBullet"/>
        <w:ind w:left="360" w:hanging="360"/>
      </w:pPr>
      <w:r>
        <w:rPr>
          <w:rFonts w:ascii="Calibri" w:hAnsi="Calibri"/>
          <w:b/>
          <w:color w:val="525866"/>
          <w:sz w:val="22"/>
        </w:rPr>
        <w:t>July 16, 2026 — Allstate (ALL) June 2026 Catastrophe Loss Disclosure:</w:t>
      </w:r>
      <w:r>
        <w:rPr>
          <w:rFonts w:ascii="Calibri" w:hAnsi="Calibri"/>
          <w:color w:val="525866"/>
          <w:sz w:val="22"/>
        </w:rPr>
        <w:t xml:space="preserve"> Allstate disclosed Q2 2026 total catastrophe losses of $1.72B ($1.36B after-tax), with June alone contributing $563M ($445M after-tax). This provides a benchmark for Q2 industry cat activity — elevated but not extreme, suggesting a manageable quarter for ACGL's diversified book.</w:t>
      </w:r>
    </w:p>
    <w:p>
      <w:pPr>
        <w:pStyle w:val="ListBullet"/>
        <w:ind w:left="360" w:hanging="360"/>
      </w:pPr>
      <w:r>
        <w:rPr>
          <w:rFonts w:ascii="Calibri" w:hAnsi="Calibri"/>
          <w:b/>
          <w:color w:val="525866"/>
          <w:sz w:val="22"/>
        </w:rPr>
        <w:t>July 15, 2026 — Progressive (PGR) June 2026 Monthly Results:</w:t>
      </w:r>
      <w:r>
        <w:rPr>
          <w:rFonts w:ascii="Calibri" w:hAnsi="Calibri"/>
          <w:color w:val="525866"/>
          <w:sz w:val="22"/>
        </w:rPr>
        <w:t xml:space="preserve"> PGR reported a companywide net catastrophe loss ratio of 2.4% for June 2026 and 2.4% YTD, indicating moderate cat activity. YTD investment income of $1,896M (+12.5% YoY) with a stable 4.2% pretax book yield. Positive read-through for ACGL's investment income trajectory.</w:t>
      </w:r>
    </w:p>
    <w:p>
      <w:pPr>
        <w:pStyle w:val="ListBullet"/>
        <w:ind w:left="360" w:hanging="360"/>
      </w:pPr>
      <w:r>
        <w:rPr>
          <w:rFonts w:ascii="Calibri" w:hAnsi="Calibri"/>
          <w:b/>
          <w:color w:val="525866"/>
          <w:sz w:val="22"/>
        </w:rPr>
        <w:t>July 24, 2026 — Munich Re Upside Pre-Announcement:</w:t>
      </w:r>
      <w:r>
        <w:rPr>
          <w:rFonts w:ascii="Calibri" w:hAnsi="Calibri"/>
          <w:color w:val="525866"/>
          <w:sz w:val="22"/>
        </w:rPr>
        <w:t xml:space="preserve"> Munich Re issued an upside pre-announcement with Q2 profit of €2.2B vs. Street consensus of €1.78B, driven by low catastrophe losses and healthy investment income. Strong positive read-through for ACGL's reinsurance segment — suggests Q2 was a benign cat quarter for global reinsurers.</w:t>
      </w:r>
    </w:p>
    <w:p>
      <w:pPr>
        <w:pStyle w:val="ListBullet"/>
        <w:ind w:left="360" w:hanging="360"/>
      </w:pPr>
      <w:r>
        <w:rPr>
          <w:rFonts w:ascii="Calibri" w:hAnsi="Calibri"/>
          <w:b/>
          <w:color w:val="525866"/>
          <w:sz w:val="22"/>
        </w:rPr>
        <w:t>Ongoing — Iran Conflict Losses:</w:t>
      </w:r>
      <w:r>
        <w:rPr>
          <w:rFonts w:ascii="Calibri" w:hAnsi="Calibri"/>
          <w:color w:val="525866"/>
          <w:sz w:val="22"/>
        </w:rPr>
        <w:t xml:space="preserve"> Management explicitly flagged on the Q1 call that additional Iran conflict losses (political violence, war on land, terror lines) are expected in Q2 2026. The magnitude is uncertain but management characterized the industry loss for these lines at "several billion dollars." This is the primary downside wildcard for Q2 cat losses.</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Insider activity since Q1 earnings is limited and not alarming — one director made a small open-market buy in late April, while two director-level preferred share sales and one Form 144 filing (intended sale) from a senior executive are the only other activity. The Form 144 from David Gansberg is the most notable item to monitor, but no Form 4 execution has been filed as of the preparation date.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 / 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Houston, Daniel Joseph</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5,300 shares (Common)</w:t>
            </w:r>
          </w:p>
        </w:tc>
        <w:tc>
          <w:tcPr>
            <w:tcW w:type="dxa" w:w="1440"/>
          </w:tcPr>
          <w:p>
            <w:r>
              <w:rPr>
                <w:rFonts w:ascii="Calibri" w:hAnsi="Calibri"/>
                <w:sz w:val="22"/>
              </w:rPr>
              <w:t>Apr 30, 2026</w:t>
            </w:r>
          </w:p>
        </w:tc>
        <w:tc>
          <w:tcPr>
            <w:tcW w:type="dxa" w:w="1440"/>
          </w:tcPr>
          <w:p>
            <w:r>
              <w:rPr>
                <w:rFonts w:ascii="Calibri" w:hAnsi="Calibri"/>
                <w:sz w:val="22"/>
              </w:rPr>
              <w:t>Discretionary open-market purchase; post-Q1 earnings buy; total holdings 9,915 shares after transaction. Modestly constructive signal.</w:t>
            </w:r>
          </w:p>
        </w:tc>
      </w:tr>
      <w:tr>
        <w:tc>
          <w:tcPr>
            <w:tcW w:type="dxa" w:w="1440"/>
          </w:tcPr>
          <w:p>
            <w:r>
              <w:rPr>
                <w:rFonts w:ascii="Calibri" w:hAnsi="Calibri"/>
                <w:sz w:val="22"/>
              </w:rPr>
              <w:t>Posner, Brian S.</w:t>
            </w:r>
          </w:p>
        </w:tc>
        <w:tc>
          <w:tcPr>
            <w:tcW w:type="dxa" w:w="1440"/>
          </w:tcPr>
          <w:p>
            <w:r>
              <w:rPr>
                <w:rFonts w:ascii="Calibri" w:hAnsi="Calibri"/>
                <w:sz w:val="22"/>
              </w:rPr>
              <w:t>Director</w:t>
            </w:r>
          </w:p>
        </w:tc>
        <w:tc>
          <w:tcPr>
            <w:tcW w:type="dxa" w:w="1440"/>
          </w:tcPr>
          <w:p>
            <w:r>
              <w:rPr>
                <w:rFonts w:ascii="Calibri" w:hAnsi="Calibri"/>
                <w:sz w:val="22"/>
              </w:rPr>
              <w:t>Open Market Sale (Preferred)</w:t>
            </w:r>
          </w:p>
        </w:tc>
        <w:tc>
          <w:tcPr>
            <w:tcW w:type="dxa" w:w="1440"/>
          </w:tcPr>
          <w:p>
            <w:r>
              <w:rPr>
                <w:rFonts w:ascii="Calibri" w:hAnsi="Calibri"/>
                <w:sz w:val="22"/>
              </w:rPr>
              <w:t>2,000 shares (Series G Depositary)</w:t>
            </w:r>
          </w:p>
        </w:tc>
        <w:tc>
          <w:tcPr>
            <w:tcW w:type="dxa" w:w="1440"/>
          </w:tcPr>
          <w:p>
            <w:r>
              <w:rPr>
                <w:rFonts w:ascii="Calibri" w:hAnsi="Calibri"/>
                <w:sz w:val="22"/>
              </w:rPr>
              <w:t>May 11, 2026</w:t>
            </w:r>
          </w:p>
        </w:tc>
        <w:tc>
          <w:tcPr>
            <w:tcW w:type="dxa" w:w="1440"/>
          </w:tcPr>
          <w:p>
            <w:r>
              <w:rPr>
                <w:rFonts w:ascii="Calibri" w:hAnsi="Calibri"/>
                <w:sz w:val="22"/>
              </w:rPr>
              <w:t>Sale of preferred depositary shares (Series G), not common stock. Routine preferred share management; not a signal on common equity outlook.</w:t>
            </w:r>
          </w:p>
        </w:tc>
      </w:tr>
      <w:tr>
        <w:tc>
          <w:tcPr>
            <w:tcW w:type="dxa" w:w="1440"/>
          </w:tcPr>
          <w:p>
            <w:r>
              <w:rPr>
                <w:rFonts w:ascii="Calibri" w:hAnsi="Calibri"/>
                <w:sz w:val="22"/>
              </w:rPr>
              <w:t>Posner, Brian S.</w:t>
            </w:r>
          </w:p>
        </w:tc>
        <w:tc>
          <w:tcPr>
            <w:tcW w:type="dxa" w:w="1440"/>
          </w:tcPr>
          <w:p>
            <w:r>
              <w:rPr>
                <w:rFonts w:ascii="Calibri" w:hAnsi="Calibri"/>
                <w:sz w:val="22"/>
              </w:rPr>
              <w:t>Director</w:t>
            </w:r>
          </w:p>
        </w:tc>
        <w:tc>
          <w:tcPr>
            <w:tcW w:type="dxa" w:w="1440"/>
          </w:tcPr>
          <w:p>
            <w:r>
              <w:rPr>
                <w:rFonts w:ascii="Calibri" w:hAnsi="Calibri"/>
                <w:sz w:val="22"/>
              </w:rPr>
              <w:t>Open Market Sale (Preferred)</w:t>
            </w:r>
          </w:p>
        </w:tc>
        <w:tc>
          <w:tcPr>
            <w:tcW w:type="dxa" w:w="1440"/>
          </w:tcPr>
          <w:p>
            <w:r>
              <w:rPr>
                <w:rFonts w:ascii="Calibri" w:hAnsi="Calibri"/>
                <w:sz w:val="22"/>
              </w:rPr>
              <w:t>3,000 shares (Series F Depositary)</w:t>
            </w:r>
          </w:p>
        </w:tc>
        <w:tc>
          <w:tcPr>
            <w:tcW w:type="dxa" w:w="1440"/>
          </w:tcPr>
          <w:p>
            <w:r>
              <w:rPr>
                <w:rFonts w:ascii="Calibri" w:hAnsi="Calibri"/>
                <w:sz w:val="22"/>
              </w:rPr>
              <w:t>Jun 3, 2026</w:t>
            </w:r>
          </w:p>
        </w:tc>
        <w:tc>
          <w:tcPr>
            <w:tcW w:type="dxa" w:w="1440"/>
          </w:tcPr>
          <w:p>
            <w:r>
              <w:rPr>
                <w:rFonts w:ascii="Calibri" w:hAnsi="Calibri"/>
                <w:sz w:val="22"/>
              </w:rPr>
              <w:t>Sale of preferred depositary shares (Series F), not common stock. Routine preferred share management; not a signal on common equity outlook.</w:t>
            </w:r>
          </w:p>
        </w:tc>
      </w:tr>
      <w:tr>
        <w:tc>
          <w:tcPr>
            <w:tcW w:type="dxa" w:w="1440"/>
          </w:tcPr>
          <w:p>
            <w:r>
              <w:rPr>
                <w:rFonts w:ascii="Calibri" w:hAnsi="Calibri"/>
                <w:sz w:val="22"/>
              </w:rPr>
              <w:t>Gansberg, David</w:t>
            </w:r>
          </w:p>
        </w:tc>
        <w:tc>
          <w:tcPr>
            <w:tcW w:type="dxa" w:w="1440"/>
          </w:tcPr>
          <w:p>
            <w:r>
              <w:rPr>
                <w:rFonts w:ascii="Calibri" w:hAnsi="Calibri"/>
                <w:sz w:val="22"/>
              </w:rPr>
              <w:t>Senior Executive</w:t>
            </w:r>
          </w:p>
        </w:tc>
        <w:tc>
          <w:tcPr>
            <w:tcW w:type="dxa" w:w="1440"/>
          </w:tcPr>
          <w:p>
            <w:r>
              <w:rPr>
                <w:rFonts w:ascii="Calibri" w:hAnsi="Calibri"/>
                <w:sz w:val="22"/>
              </w:rPr>
              <w:t>Form 144 — Intended Sale (Common)</w:t>
            </w:r>
          </w:p>
        </w:tc>
        <w:tc>
          <w:tcPr>
            <w:tcW w:type="dxa" w:w="1440"/>
          </w:tcPr>
          <w:p>
            <w:r>
              <w:rPr>
                <w:rFonts w:ascii="Calibri" w:hAnsi="Calibri"/>
                <w:sz w:val="22"/>
              </w:rPr>
              <w:t>$7,632,500 (intended)</w:t>
            </w:r>
          </w:p>
        </w:tc>
        <w:tc>
          <w:tcPr>
            <w:tcW w:type="dxa" w:w="1440"/>
          </w:tcPr>
          <w:p>
            <w:r>
              <w:rPr>
                <w:rFonts w:ascii="Calibri" w:hAnsi="Calibri"/>
                <w:sz w:val="22"/>
              </w:rPr>
              <w:t>Jul 20, 2026</w:t>
            </w:r>
          </w:p>
        </w:tc>
        <w:tc>
          <w:tcPr>
            <w:tcW w:type="dxa" w:w="1440"/>
          </w:tcPr>
          <w:p>
            <w:r>
              <w:rPr>
                <w:rFonts w:ascii="Calibri" w:hAnsi="Calibri"/>
                <w:sz w:val="22"/>
              </w:rPr>
              <w:t>Form 144 filing (notice of intended sale); no Form 4 execution filed as of Jul 28, 2026. Timing pre-earnings is notable; watch for Form 4 filing post-blackout period. Not necessarily discretionary — may be 10b5-1 plan.</w:t>
            </w:r>
          </w:p>
        </w:tc>
      </w:tr>
    </w:tbl>
    <w:p>
      <w:r>
        <w:rPr>
          <w:rFonts w:ascii="Calibri" w:hAnsi="Calibri"/>
          <w:b/>
          <w:color w:val="525866"/>
          <w:sz w:val="22"/>
        </w:rPr>
        <w:t xml:space="preserve">Overall assessment: </w:t>
      </w:r>
      <w:r>
        <w:rPr>
          <w:rFonts w:ascii="Calibri" w:hAnsi="Calibri"/>
          <w:color w:val="525866"/>
          <w:sz w:val="22"/>
        </w:rPr>
        <w:t>The one open-market common stock buy (Director Houston, April 30) is a modestly constructive signal immediately post-Q1 earnings. The preferred share sales by Director Posner are routine and carry no read-through for common equity. The Gansberg Form 144 is the most notable item — the $7.6M intended sale is large in dollar terms, but without a Form 4 execution and given the pre-earnings blackout period, it is premature to read this as a negative signal. No clustered insider buying or unusual sale patterns that would materially change the investment thesis.</w:t>
      </w:r>
    </w:p>
    <w:p>
      <w:r>
        <w:rPr>
          <w:rFonts w:ascii="Calibri" w:hAnsi="Calibri"/>
          <w:color w:val="525866"/>
          <w:sz w:val="22"/>
        </w:rPr>
        <w:t>Source: SEC Form 4 Filings Database; SEC Form 144 Filings.</w:t>
      </w:r>
    </w:p>
    <w:p>
      <w:r>
        <w:br w:type="page"/>
      </w:r>
    </w:p>
    <w:p>
      <w:pPr>
        <w:pStyle w:val="Heading2"/>
      </w:pPr>
      <w:r>
        <w:rPr>
          <w:rFonts w:ascii="Calibri" w:hAnsi="Calibri"/>
          <w:b/>
          <w:color w:val="3B4259"/>
          <w:sz w:val="28"/>
        </w:rPr>
        <w:t>8. Peer Read-Throughs — Last 60 Days (Q2 2026 Commentary Only)</w:t>
      </w:r>
    </w:p>
    <w:p>
      <w:r>
        <w:rPr>
          <w:rFonts w:ascii="Calibri" w:hAnsi="Calibri"/>
          <w:b/>
          <w:color w:val="525866"/>
          <w:sz w:val="22"/>
        </w:rPr>
        <w:t xml:space="preserve">Key Takeaway: </w:t>
      </w:r>
      <w:r>
        <w:rPr>
          <w:rFonts w:ascii="Calibri" w:hAnsi="Calibri"/>
          <w:color w:val="525866"/>
          <w:sz w:val="22"/>
        </w:rPr>
        <w:t>Peers reporting Q2 2026 results paint a picture of a benign-to-moderate catastrophe quarter, continued property-cat pricing pressure (rates down high-teens at mid-year renewals), casualty loss costs that remain elevated and are beginning to outpace pricing in some lines, and strong investment income growth — a mixed but broadly manageable backdrop for ACGL heading into its print.</w:t>
      </w:r>
    </w:p>
    <w:p>
      <w:r>
        <w:rPr>
          <w:rFonts w:ascii="Calibri" w:hAnsi="Calibri"/>
          <w:b/>
          <w:color w:val="525866"/>
          <w:sz w:val="22"/>
        </w:rPr>
        <w:t xml:space="preserve">Note: </w:t>
      </w:r>
      <w:r>
        <w:rPr>
          <w:rFonts w:ascii="Calibri" w:hAnsi="Calibri"/>
          <w:color w:val="525866"/>
          <w:sz w:val="22"/>
        </w:rPr>
        <w:t>All commentary below is sourced exclusively from Q2 2026 earnings releases, earnings call transcripts, and post-Q1 2026 corporate disclosures. No Q1 2025 or prior-period results are included. Peers covered: RNR, CB, TRV, RLI, ALL, PGR.</w:t>
      </w:r>
    </w:p>
    <w:p>
      <w:r>
        <w:rPr>
          <w:rFonts w:ascii="Calibri" w:hAnsi="Calibri"/>
          <w:color w:val="525866"/>
          <w:sz w:val="22"/>
        </w:rPr>
        <w:t>Sources: RNR Q2 2026 Earnings Call Transcript (July 23, 2026); CB Q2 2026 Earnings Call Transcript (July 22, 2026); TRV Q2 2026 Earnings Call Transcript (July 17, 2026); RLI Q2 2026 Earnings Call Transcript (July 23, 2026); ALL Q2 2026 Catastrophe Loss Disclosure (July 16, 2026); PGR June 2026 Monthly Results (July 15, 2026); Munich Re Q2 2026 pre-announcement (July 24, 2026, via News Digest).</w:t>
      </w:r>
    </w:p>
    <w:p>
      <w:r>
        <w:rPr>
          <w:rFonts w:ascii="Calibri" w:hAnsi="Calibri"/>
          <w:b/>
          <w:i/>
          <w:color w:val="525866"/>
          <w:sz w:val="22"/>
        </w:rPr>
        <w:t>— End of Document —</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