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ADP thoroughly before writing the preview. Let me start by gathering recent earnings materials, guidance, and news.Let me read the most recent quarter (Q3 FY26) earnings call and release, plus last year's Q4 for seasonality context.Let me get recent stock price data, last year's Q4 for seasonality/prior-year comps, and recent news.Let me compute the implied Q4 numbers and check for consensus estimates.Now let me quickly check for analyst sentiment/consensus via web search.# ADP (Nasdaq: ADP) — Earnings Preview</w:t>
      </w:r>
    </w:p>
    <w:bookmarkStart w:id="9" w:name="X333808da15d61e7cbb40118f98f280184e43dea"/>
    <w:p>
      <w:pPr>
        <w:pStyle w:val="Heading3"/>
      </w:pPr>
      <w:r>
        <w:t xml:space="preserve">Q4 &amp; Full-Year Fiscal 2026 | Reporting Wednesday, July 29, 2026 (before market open)</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ADP closes out FY26 tomorrow, but the number that will actually move the stock is the</w:t>
      </w:r>
      <w:r>
        <w:t xml:space="preserve"> </w:t>
      </w:r>
      <w:r>
        <w:rPr>
          <w:b/>
          <w:bCs/>
        </w:rPr>
        <w:t xml:space="preserve">initial FY27 outlook</w:t>
      </w:r>
      <w:r>
        <w:t xml:space="preserve"> </w:t>
      </w:r>
      <w:r>
        <w:t xml:space="preserve">management provides alongside results. The FY26 print itself is largely de-risked: guidance was raised at Q3, and three quarters of the year are already in the books. The debate is entirely about the forward algorithm — bookings momentum, the labor market, the float tailwind, and whether AI is a threat or an accelerant to ADP's seat-based model.</w:t>
      </w:r>
    </w:p>
    <w:p>
      <w:r>
        <w:pict>
          <v:rect style="width:0;height:1.5pt" o:hralign="center" o:hrstd="t" o:hr="t"/>
        </w:pict>
      </w:r>
    </w:p>
    <w:bookmarkEnd w:id="10"/>
    <w:bookmarkStart w:id="11" w:name="X8f1c8469de636e8350f7815f2624781608426c8"/>
    <w:p>
      <w:pPr>
        <w:pStyle w:val="Heading2"/>
      </w:pPr>
      <w:r>
        <w:t xml:space="preserve">1. What's already known (and why Q4 is low-drama)</w:t>
      </w:r>
    </w:p>
    <w:p>
      <w:pPr>
        <w:pStyle w:val="FirstParagraph"/>
      </w:pPr>
      <w:r>
        <w:t xml:space="preserve">ADP raised full-year guidance at the Q3 report (April 29). The current FY26 framework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FY26 Guidance (raised at Q3)</w:t>
            </w:r>
          </w:p>
        </w:tc>
        <w:tc>
          <w:tcPr/>
          <w:p>
            <w:pPr>
              <w:pStyle w:val="Compact"/>
            </w:pPr>
            <w:r>
              <w:t xml:space="preserve">FY25 Actual</w:t>
            </w:r>
          </w:p>
        </w:tc>
      </w:tr>
      <w:tr>
        <w:tc>
          <w:tcPr/>
          <w:p>
            <w:pPr>
              <w:pStyle w:val="Compact"/>
            </w:pPr>
            <w:r>
              <w:t xml:space="preserve">Consolidated revenue growth</w:t>
            </w:r>
          </w:p>
        </w:tc>
        <w:tc>
          <w:tcPr/>
          <w:p>
            <w:pPr>
              <w:pStyle w:val="Compact"/>
            </w:pPr>
            <w:r>
              <w:rPr>
                <w:b/>
                <w:bCs/>
              </w:rPr>
              <w:t xml:space="preserve">6–7%</w:t>
            </w:r>
          </w:p>
        </w:tc>
        <w:tc>
          <w:tcPr/>
          <w:p>
            <w:pPr>
              <w:pStyle w:val="Compact"/>
            </w:pPr>
            <w:r>
              <w:t xml:space="preserve">+7% ($20.56B)</w:t>
            </w:r>
          </w:p>
        </w:tc>
      </w:tr>
      <w:tr>
        <w:tc>
          <w:tcPr/>
          <w:p>
            <w:pPr>
              <w:pStyle w:val="Compact"/>
            </w:pPr>
            <w:r>
              <w:t xml:space="preserve">Adjusted EBIT margin expansion</w:t>
            </w:r>
          </w:p>
        </w:tc>
        <w:tc>
          <w:tcPr/>
          <w:p>
            <w:pPr>
              <w:pStyle w:val="Compact"/>
            </w:pPr>
            <w:r>
              <w:rPr>
                <w:b/>
                <w:bCs/>
              </w:rPr>
              <w:t xml:space="preserve">+70–80 bps</w:t>
            </w:r>
          </w:p>
        </w:tc>
        <w:tc>
          <w:tcPr/>
          <w:p>
            <w:pPr>
              <w:pStyle w:val="Compact"/>
            </w:pPr>
            <w:r>
              <w:t xml:space="preserve">+50 bps (to 26.0%)</w:t>
            </w:r>
          </w:p>
        </w:tc>
      </w:tr>
      <w:tr>
        <w:tc>
          <w:tcPr/>
          <w:p>
            <w:pPr>
              <w:pStyle w:val="Compact"/>
            </w:pPr>
            <w:r>
              <w:t xml:space="preserve">Adjusted diluted EPS growth</w:t>
            </w:r>
          </w:p>
        </w:tc>
        <w:tc>
          <w:tcPr/>
          <w:p>
            <w:pPr>
              <w:pStyle w:val="Compact"/>
            </w:pPr>
            <w:r>
              <w:rPr>
                <w:b/>
                <w:bCs/>
              </w:rPr>
              <w:t xml:space="preserve">+10–11%</w:t>
            </w:r>
          </w:p>
        </w:tc>
        <w:tc>
          <w:tcPr/>
          <w:p>
            <w:pPr>
              <w:pStyle w:val="Compact"/>
            </w:pPr>
            <w:r>
              <w:t xml:space="preserve">+9% ($10.01)</w:t>
            </w:r>
          </w:p>
        </w:tc>
      </w:tr>
      <w:tr>
        <w:tc>
          <w:tcPr/>
          <w:p>
            <w:pPr>
              <w:pStyle w:val="Compact"/>
            </w:pPr>
            <w:r>
              <w:t xml:space="preserve">Adjusted effective tax rate</w:t>
            </w:r>
          </w:p>
        </w:tc>
        <w:tc>
          <w:tcPr/>
          <w:p>
            <w:pPr>
              <w:pStyle w:val="Compact"/>
            </w:pPr>
            <w:r>
              <w:t xml:space="preserve">~23%</w:t>
            </w:r>
          </w:p>
        </w:tc>
        <w:tc>
          <w:tcPr/>
          <w:p>
            <w:pPr>
              <w:pStyle w:val="Compact"/>
            </w:pPr>
            <w:r>
              <w:t xml:space="preserve">23.2%</w:t>
            </w:r>
          </w:p>
        </w:tc>
      </w:tr>
      <w:tr>
        <w:tc>
          <w:tcPr/>
          <w:p>
            <w:pPr>
              <w:pStyle w:val="Compact"/>
            </w:pPr>
            <w:r>
              <w:t xml:space="preserve">ES new business bookings</w:t>
            </w:r>
          </w:p>
        </w:tc>
        <w:tc>
          <w:tcPr/>
          <w:p>
            <w:pPr>
              <w:pStyle w:val="Compact"/>
            </w:pPr>
            <w:r>
              <w:rPr>
                <w:b/>
                <w:bCs/>
              </w:rPr>
              <w:t xml:space="preserve">+4–7%</w:t>
            </w:r>
            <w:r>
              <w:t xml:space="preserve"> </w:t>
            </w:r>
            <w:r>
              <w:t xml:space="preserve">(unchanged)</w:t>
            </w:r>
          </w:p>
        </w:tc>
        <w:tc>
          <w:tcPr/>
          <w:p>
            <w:pPr>
              <w:pStyle w:val="Compact"/>
            </w:pPr>
            <w:r>
              <w:t xml:space="preserve">+3% ($2.1B)</w:t>
            </w:r>
          </w:p>
        </w:tc>
      </w:tr>
      <w:tr>
        <w:tc>
          <w:tcPr/>
          <w:p>
            <w:pPr>
              <w:pStyle w:val="Compact"/>
            </w:pPr>
            <w:r>
              <w:t xml:space="preserve">ES client revenue retention</w:t>
            </w:r>
          </w:p>
        </w:tc>
        <w:tc>
          <w:tcPr/>
          <w:p>
            <w:pPr>
              <w:pStyle w:val="Compact"/>
            </w:pPr>
            <w:r>
              <w:t xml:space="preserve">flat to –20 bps</w:t>
            </w:r>
          </w:p>
        </w:tc>
        <w:tc>
          <w:tcPr/>
          <w:p>
            <w:pPr>
              <w:pStyle w:val="Compact"/>
            </w:pPr>
            <w:r>
              <w:t xml:space="preserve">92.1%</w:t>
            </w:r>
          </w:p>
        </w:tc>
      </w:tr>
      <w:tr>
        <w:tc>
          <w:tcPr/>
          <w:p>
            <w:pPr>
              <w:pStyle w:val="Compact"/>
            </w:pPr>
            <w:r>
              <w:t xml:space="preserve">U.S. pays per control</w:t>
            </w:r>
          </w:p>
        </w:tc>
        <w:tc>
          <w:tcPr/>
          <w:p>
            <w:pPr>
              <w:pStyle w:val="Compact"/>
            </w:pPr>
            <w:r>
              <w:t xml:space="preserve">~+1%</w:t>
            </w:r>
          </w:p>
        </w:tc>
        <w:tc>
          <w:tcPr/>
          <w:p>
            <w:pPr>
              <w:pStyle w:val="Compact"/>
            </w:pPr>
            <w:r>
              <w:t xml:space="preserve">+1%</w:t>
            </w:r>
          </w:p>
        </w:tc>
      </w:tr>
      <w:tr>
        <w:tc>
          <w:tcPr/>
          <w:p>
            <w:pPr>
              <w:pStyle w:val="Compact"/>
            </w:pPr>
            <w:r>
              <w:t xml:space="preserve">PEO avg. worksite employees</w:t>
            </w:r>
          </w:p>
        </w:tc>
        <w:tc>
          <w:tcPr/>
          <w:p>
            <w:pPr>
              <w:pStyle w:val="Compact"/>
            </w:pPr>
            <w:r>
              <w:t xml:space="preserve">~+2%</w:t>
            </w:r>
          </w:p>
        </w:tc>
        <w:tc>
          <w:tcPr/>
          <w:p>
            <w:pPr>
              <w:pStyle w:val="Compact"/>
            </w:pPr>
            <w:r>
              <w:t xml:space="preserve">+3% (748k)</w:t>
            </w:r>
          </w:p>
        </w:tc>
      </w:tr>
      <w:tr>
        <w:tc>
          <w:tcPr/>
          <w:p>
            <w:pPr>
              <w:pStyle w:val="Compact"/>
            </w:pPr>
            <w:r>
              <w:t xml:space="preserve">Client funds interest revenue</w:t>
            </w:r>
          </w:p>
        </w:tc>
        <w:tc>
          <w:tcPr/>
          <w:p>
            <w:pPr>
              <w:pStyle w:val="Compact"/>
            </w:pPr>
            <w:r>
              <w:rPr>
                <w:b/>
                <w:bCs/>
              </w:rPr>
              <w:t xml:space="preserve">$1.34–1.35B</w:t>
            </w:r>
          </w:p>
        </w:tc>
        <w:tc>
          <w:tcPr/>
          <w:p>
            <w:pPr>
              <w:pStyle w:val="Compact"/>
            </w:pPr>
            <w:r>
              <w:t xml:space="preserve">$1.19B</w:t>
            </w:r>
          </w:p>
        </w:tc>
      </w:tr>
    </w:tbl>
    <w:p>
      <w:pPr>
        <w:pStyle w:val="BodyText"/>
      </w:pPr>
      <w:r>
        <w:rPr>
          <w:b/>
          <w:bCs/>
        </w:rPr>
        <w:t xml:space="preserve">Backing into the implied Q4 (given 9-month actuals):</w:t>
      </w:r>
    </w:p>
    <w:p>
      <w:pPr>
        <w:pStyle w:val="Compact"/>
        <w:numPr>
          <w:ilvl w:val="0"/>
          <w:numId w:val="1001"/>
        </w:numPr>
      </w:pPr>
      <w:r>
        <w:rPr>
          <w:b/>
          <w:bCs/>
        </w:rPr>
        <w:t xml:space="preserve">Revenue ~$5.32–5.53B</w:t>
      </w:r>
      <w:r>
        <w:t xml:space="preserve"> </w:t>
      </w:r>
      <w:r>
        <w:t xml:space="preserve">(+3.8% to +7.8% YoY vs. $5.13B in Q4 FY25)</w:t>
      </w:r>
    </w:p>
    <w:p>
      <w:pPr>
        <w:pStyle w:val="Compact"/>
        <w:numPr>
          <w:ilvl w:val="0"/>
          <w:numId w:val="1001"/>
        </w:numPr>
      </w:pPr>
      <w:r>
        <w:rPr>
          <w:b/>
          <w:bCs/>
        </w:rPr>
        <w:t xml:space="preserve">Adjusted EPS ~$2.53–2.63</w:t>
      </w:r>
      <w:r>
        <w:t xml:space="preserve"> </w:t>
      </w:r>
      <w:r>
        <w:t xml:space="preserve">(+12% to +16% YoY vs. $2.26)</w:t>
      </w:r>
    </w:p>
    <w:p>
      <w:pPr>
        <w:pStyle w:val="Compact"/>
        <w:numPr>
          <w:ilvl w:val="0"/>
          <w:numId w:val="1001"/>
        </w:numPr>
      </w:pPr>
      <w:r>
        <w:rPr>
          <w:b/>
          <w:bCs/>
        </w:rPr>
        <w:t xml:space="preserve">ES segment revenue ~$3.58–3.72B</w:t>
      </w:r>
      <w:r>
        <w:t xml:space="preserve"> </w:t>
      </w:r>
      <w:r>
        <w:t xml:space="preserve">(+3.3% to +7.3%)</w:t>
      </w:r>
    </w:p>
    <w:p>
      <w:pPr>
        <w:pStyle w:val="FirstParagraph"/>
      </w:pPr>
      <w:r>
        <w:t xml:space="preserve">Note the guidance ranges are unusually wide for a single remaining quarter — that's deliberate, because</w:t>
      </w:r>
      <w:r>
        <w:t xml:space="preserve"> </w:t>
      </w:r>
      <w:r>
        <w:rPr>
          <w:b/>
          <w:bCs/>
        </w:rPr>
        <w:t xml:space="preserve">Q4 is ADP's largest new-business-bookings quarter</w:t>
      </w:r>
      <w:r>
        <w:t xml:space="preserve"> </w:t>
      </w:r>
      <w:r>
        <w:t xml:space="preserve">and management left the 4–7% bookings range intact. The full-year revenue/EPS outcome hinges on this final selling push.</w:t>
      </w:r>
    </w:p>
    <w:p>
      <w:r>
        <w:pict>
          <v:rect style="width:0;height:1.5pt" o:hralign="center" o:hrstd="t" o:hr="t"/>
        </w:pict>
      </w:r>
    </w:p>
    <w:bookmarkEnd w:id="11"/>
    <w:bookmarkStart w:id="12" w:name="X7181530c2bf845d530bf1481611b39f9fccdc71"/>
    <w:p>
      <w:pPr>
        <w:pStyle w:val="Heading2"/>
      </w:pPr>
      <w:r>
        <w:t xml:space="preserve">2. The real event: first look at FY27</w:t>
      </w:r>
    </w:p>
    <w:p>
      <w:pPr>
        <w:pStyle w:val="FirstParagraph"/>
      </w:pPr>
      <w:r>
        <w:t xml:space="preserve">Management is expected to issue FY27 guidance with this release. On the Q3 call, Peter Hadley pre-seeded three themes worth anchoring expectations to:</w:t>
      </w:r>
    </w:p>
    <w:p>
      <w:pPr>
        <w:pStyle w:val="Compact"/>
        <w:numPr>
          <w:ilvl w:val="0"/>
          <w:numId w:val="1002"/>
        </w:numPr>
      </w:pPr>
      <w:r>
        <w:rPr>
          <w:b/>
          <w:bCs/>
        </w:rPr>
        <w:t xml:space="preserve">Margin expansion acceleration.</w:t>
      </w:r>
      <w:r>
        <w:t xml:space="preserve"> </w:t>
      </w:r>
      <w:r>
        <w:t xml:space="preserve">Having just raised FY26 margin guidance to +70–80 bps, management signaled it is "very focused on continuing this acceleration" in FY27 as AI-driven productivity (lower cost-to-serve) compounds. Watch whether FY27 margin guidance is set</w:t>
      </w:r>
      <w:r>
        <w:t xml:space="preserve"> </w:t>
      </w:r>
      <w:r>
        <w:rPr>
          <w:i/>
          <w:iCs/>
        </w:rPr>
        <w:t xml:space="preserve">above</w:t>
      </w:r>
      <w:r>
        <w:t xml:space="preserve"> </w:t>
      </w:r>
      <w:r>
        <w:t xml:space="preserve">the FY26 pace.</w:t>
      </w:r>
    </w:p>
    <w:p>
      <w:pPr>
        <w:pStyle w:val="Compact"/>
        <w:numPr>
          <w:ilvl w:val="0"/>
          <w:numId w:val="1002"/>
        </w:numPr>
      </w:pPr>
      <w:r>
        <w:rPr>
          <w:b/>
          <w:bCs/>
        </w:rPr>
        <w:t xml:space="preserve">Continued float tailwind.</w:t>
      </w:r>
      <w:r>
        <w:t xml:space="preserve"> </w:t>
      </w:r>
      <w:r>
        <w:t xml:space="preserve">The client-funds laddering strategy means reinvestment rates remain above the yield of maturing securities, so portfolio yield is expected</w:t>
      </w:r>
      <w:r>
        <w:t xml:space="preserve"> </w:t>
      </w:r>
      <w:r>
        <w:rPr>
          <w:i/>
          <w:iCs/>
        </w:rPr>
        <w:t xml:space="preserve">above</w:t>
      </w:r>
      <w:r>
        <w:t xml:space="preserve"> </w:t>
      </w:r>
      <w:r>
        <w:t xml:space="preserve">FY26 levels — a structural EPS tailwind independent of new Fed cuts.</w:t>
      </w:r>
    </w:p>
    <w:p>
      <w:pPr>
        <w:pStyle w:val="Compact"/>
        <w:numPr>
          <w:ilvl w:val="0"/>
          <w:numId w:val="1002"/>
        </w:numPr>
      </w:pPr>
      <w:r>
        <w:rPr>
          <w:b/>
          <w:bCs/>
        </w:rPr>
        <w:t xml:space="preserve">Elevated buybacks.</w:t>
      </w:r>
      <w:r>
        <w:t xml:space="preserve"> </w:t>
      </w:r>
      <w:r>
        <w:t xml:space="preserve">Repurchases stepped up sharply in FY26 (9-month buybacks of ~</w:t>
      </w:r>
      <m:oMath>
        <m:r>
          <m:t>1.46</m:t>
        </m:r>
        <m:r>
          <m:t>B</m:t>
        </m:r>
        <m:r>
          <m:t>v</m:t>
        </m:r>
        <m:r>
          <m:t>s</m:t>
        </m:r>
        <m:r>
          <m:rPr>
            <m:sty m:val="p"/>
          </m:rPr>
          <m:t>.</m:t>
        </m:r>
        <m:r>
          <m:t> </m:t>
        </m:r>
      </m:oMath>
      <w:r>
        <w:t xml:space="preserve">0.96B a year prior), and management guided to sustaining "at or above these elevated levels" through FY27, on top of dividend growth.</w:t>
      </w:r>
    </w:p>
    <w:p>
      <w:pPr>
        <w:pStyle w:val="FirstParagraph"/>
      </w:pPr>
      <w:r>
        <w:rPr>
          <w:b/>
          <w:bCs/>
        </w:rPr>
        <w:t xml:space="preserve">Bottom line for the model:</w:t>
      </w:r>
      <w:r>
        <w:t xml:space="preserve"> </w:t>
      </w:r>
      <w:r>
        <w:t xml:space="preserve">the pieces point to another year of ADP's classic "high-single-digit revenue / low-double-digit EPS" algorithm, with the buyback ramp and float providing EPS support. The bull case needs FY27 revenue guidance to hold ~6%+ and margins to accelerate; the bear case is any sign the bookings/pays-per-control engine is decelerating.</w:t>
      </w:r>
    </w:p>
    <w:p>
      <w:r>
        <w:pict>
          <v:rect style="width:0;height:1.5pt" o:hralign="center" o:hrstd="t" o:hr="t"/>
        </w:pict>
      </w:r>
    </w:p>
    <w:bookmarkEnd w:id="12"/>
    <w:bookmarkStart w:id="13" w:name="X22eebfe2269f0b77d0fcbc1bf4bcdd4e3d12e9c"/>
    <w:p>
      <w:pPr>
        <w:pStyle w:val="Heading2"/>
      </w:pPr>
      <w:r>
        <w:t xml:space="preserve">3. Key watch items on the print</w:t>
      </w:r>
    </w:p>
    <w:p>
      <w:pPr>
        <w:pStyle w:val="FirstParagraph"/>
      </w:pPr>
      <w:r>
        <w:rPr>
          <w:b/>
          <w:bCs/>
        </w:rPr>
        <w:t xml:space="preserve">a) ES new business bookings — the swing factor.</w:t>
      </w:r>
      <w:r>
        <w:t xml:space="preserve"> </w:t>
      </w:r>
      <w:r>
        <w:t xml:space="preserve">This is the single most-scrutinized number. Q4 is the biggest bookings quarter, sensitivity is ~$20–21M of bookings per percentage point, and roughly 8,500 sellers are in the field. Strength has been broad-based year-to-date (international, compliance, small-business retirement/insurance). A print landing in the upper half of the 4–7% range — and healthy commentary on the FY27 pipeline — would be a clear positive.</w:t>
      </w:r>
    </w:p>
    <w:p>
      <w:pPr>
        <w:pStyle w:val="BodyText"/>
      </w:pPr>
      <w:r>
        <w:rPr>
          <w:b/>
          <w:bCs/>
        </w:rPr>
        <w:t xml:space="preserve">b) Labor market / pays per control.</w:t>
      </w:r>
      <w:r>
        <w:t xml:space="preserve"> </w:t>
      </w:r>
      <w:r>
        <w:t xml:space="preserve">Pays per control has run at just ~1% and PEO pays-per-control has been softening. This is the cleanest read on ADP's own base-of-business growth and the epicenter of the "AI is destroying jobs" bear narrative. Any deceleration below 1% would feed that fear; stability would reassure.</w:t>
      </w:r>
    </w:p>
    <w:p>
      <w:pPr>
        <w:pStyle w:val="BodyText"/>
      </w:pPr>
      <w:r>
        <w:rPr>
          <w:b/>
          <w:bCs/>
        </w:rPr>
        <w:t xml:space="preserve">c) PEO margins.</w:t>
      </w:r>
      <w:r>
        <w:t xml:space="preserve"> </w:t>
      </w:r>
      <w:r>
        <w:t xml:space="preserve">PEO has been the soft spot — Q3 segment margin fell ~120 bps on zero-margin pass-through growth, higher SUI costs, elevated selling expense (from strong sales), and smaller workers'-comp reserve releases. Watch whether these pressures persist and how PEO worksite-employee growth (~2%) trends.</w:t>
      </w:r>
    </w:p>
    <w:p>
      <w:pPr>
        <w:pStyle w:val="BodyText"/>
      </w:pPr>
      <w:r>
        <w:rPr>
          <w:b/>
          <w:bCs/>
        </w:rPr>
        <w:t xml:space="preserve">d) Client funds / float.</w:t>
      </w:r>
      <w:r>
        <w:t xml:space="preserve"> </w:t>
      </w:r>
      <w:r>
        <w:t xml:space="preserve">Balances growth was raised to ~6% and yield to ~3.4% at Q3. With the market pricing Fed cuts, investors will parse the FY27 float assumptions closely — the laddered portfolio insulates near-term yield, but the client-short book reprices fastest with rate cuts.</w:t>
      </w:r>
    </w:p>
    <w:p>
      <w:pPr>
        <w:pStyle w:val="BodyText"/>
      </w:pPr>
      <w:r>
        <w:rPr>
          <w:b/>
          <w:bCs/>
        </w:rPr>
        <w:t xml:space="preserve">e) Retention &amp; pricing.</w:t>
      </w:r>
      <w:r>
        <w:t xml:space="preserve"> </w:t>
      </w:r>
      <w:r>
        <w:t xml:space="preserve">ES retention and client satisfaction hit record Q3 highs, and price contribution was raised toward ~130 bps (from ~100 bps). Sustained record retention plus pricing power is the counter-evidence to the AI-disruption thesis.</w:t>
      </w:r>
    </w:p>
    <w:p>
      <w:r>
        <w:pict>
          <v:rect style="width:0;height:1.5pt" o:hralign="center" o:hrstd="t" o:hr="t"/>
        </w:pict>
      </w:r>
    </w:p>
    <w:bookmarkEnd w:id="13"/>
    <w:bookmarkStart w:id="14" w:name="X40569166fb3b6c68da57a2f42616cfe8e5219b3"/>
    <w:p>
      <w:pPr>
        <w:pStyle w:val="Heading2"/>
      </w:pPr>
      <w:r>
        <w:t xml:space="preserve">4. The AI debate — the overhang on the multiple</w:t>
      </w:r>
    </w:p>
    <w:p>
      <w:pPr>
        <w:pStyle w:val="FirstParagraph"/>
      </w:pPr>
      <w:r>
        <w:t xml:space="preserve">This is the qualitative crux. The bear view: AI-native HR/payroll upstarts and headcount deflation erode ADP's per-employee, seat-based revenue. Management's rebuttal, reiterated all year:</w:t>
      </w:r>
    </w:p>
    <w:p>
      <w:pPr>
        <w:pStyle w:val="Compact"/>
        <w:numPr>
          <w:ilvl w:val="0"/>
          <w:numId w:val="1003"/>
        </w:numPr>
      </w:pPr>
      <w:r>
        <w:t xml:space="preserve">In the</w:t>
      </w:r>
      <w:r>
        <w:t xml:space="preserve"> </w:t>
      </w:r>
      <w:r>
        <w:rPr>
          <w:b/>
          <w:bCs/>
        </w:rPr>
        <w:t xml:space="preserve">down-market ~80% of ES revenue is base-fee</w:t>
      </w:r>
      <w:r>
        <w:t xml:space="preserve"> </w:t>
      </w:r>
      <w:r>
        <w:t xml:space="preserve">(not purely seat-based); mid-/up-market is more seat-linked but priced on</w:t>
      </w:r>
      <w:r>
        <w:t xml:space="preserve"> </w:t>
      </w:r>
      <w:r>
        <w:rPr>
          <w:i/>
          <w:iCs/>
        </w:rPr>
        <w:t xml:space="preserve">value</w:t>
      </w:r>
      <w:r>
        <w:t xml:space="preserve">, not linearly on headcount.</w:t>
      </w:r>
    </w:p>
    <w:p>
      <w:pPr>
        <w:pStyle w:val="Compact"/>
        <w:numPr>
          <w:ilvl w:val="0"/>
          <w:numId w:val="1003"/>
        </w:numPr>
      </w:pPr>
      <w:r>
        <w:t xml:space="preserve">AI</w:t>
      </w:r>
      <w:r>
        <w:t xml:space="preserve"> </w:t>
      </w:r>
      <w:r>
        <w:rPr>
          <w:i/>
          <w:iCs/>
        </w:rPr>
        <w:t xml:space="preserve">increases</w:t>
      </w:r>
      <w:r>
        <w:t xml:space="preserve"> </w:t>
      </w:r>
      <w:r>
        <w:t xml:space="preserve">workforce complexity (200+ new HR compliance laws YTD, EU transparency directive), which plays to ADP's compliance/"final-mile" moat.</w:t>
      </w:r>
    </w:p>
    <w:p>
      <w:pPr>
        <w:pStyle w:val="Compact"/>
        <w:numPr>
          <w:ilvl w:val="0"/>
          <w:numId w:val="1003"/>
        </w:numPr>
      </w:pPr>
      <w:r>
        <w:t xml:space="preserve">AI is a</w:t>
      </w:r>
      <w:r>
        <w:t xml:space="preserve"> </w:t>
      </w:r>
      <w:r>
        <w:rPr>
          <w:b/>
          <w:bCs/>
        </w:rPr>
        <w:t xml:space="preserve">cost lever internally</w:t>
      </w:r>
      <w:r>
        <w:t xml:space="preserve"> </w:t>
      </w:r>
      <w:r>
        <w:t xml:space="preserve">— e.g., 8% fewer small-business client contacts in the peak quarter, a 35% call-volume reduction in India year-end processing, and The Zone service platform scaling from 20% toward 40%+ of the service population by year-end.</w:t>
      </w:r>
    </w:p>
    <w:p>
      <w:pPr>
        <w:pStyle w:val="FirstParagraph"/>
      </w:pPr>
      <w:r>
        <w:t xml:space="preserve">Listen for updated ADP Assist / Lyric HCM traction and any framing of AI as a</w:t>
      </w:r>
      <w:r>
        <w:t xml:space="preserve"> </w:t>
      </w:r>
      <w:r>
        <w:rPr>
          <w:i/>
          <w:iCs/>
        </w:rPr>
        <w:t xml:space="preserve">net margin tailwind</w:t>
      </w:r>
      <w:r>
        <w:t xml:space="preserve"> </w:t>
      </w:r>
      <w:r>
        <w:t xml:space="preserve">— that's what supports the "margin acceleration" story into FY27.</w:t>
      </w:r>
    </w:p>
    <w:p>
      <w:r>
        <w:pict>
          <v:rect style="width:0;height:1.5pt" o:hralign="center" o:hrstd="t" o:hr="t"/>
        </w:pict>
      </w:r>
    </w:p>
    <w:bookmarkEnd w:id="14"/>
    <w:bookmarkStart w:id="15" w:name="X12b7ef3ef01880e46c0d465a01e12e89c16ad24"/>
    <w:p>
      <w:pPr>
        <w:pStyle w:val="Heading2"/>
      </w:pPr>
      <w:r>
        <w:t xml:space="preserve">5. Valuation &amp; positioning</w:t>
      </w:r>
    </w:p>
    <w:p>
      <w:pPr>
        <w:pStyle w:val="FirstParagraph"/>
      </w:pPr>
      <w:r>
        <w:t xml:space="preserve">The stock closed at</w:t>
      </w:r>
      <w:r>
        <w:t xml:space="preserve"> </w:t>
      </w:r>
      <m:oMath>
        <m:r>
          <m:t>264.21</m:t>
        </m:r>
        <m:r>
          <m:t>o</m:t>
        </m:r>
        <m:r>
          <m:t>n</m:t>
        </m:r>
        <m:r>
          <m:t>J</m:t>
        </m:r>
        <m:r>
          <m:t>u</m:t>
        </m:r>
        <m:r>
          <m:t>l</m:t>
        </m:r>
        <m:r>
          <m:t>y</m:t>
        </m:r>
        <m:r>
          <m:t>28</m:t>
        </m:r>
        <m:r>
          <m:rPr>
            <m:sty m:val="p"/>
          </m:rPr>
          <m:t>*</m:t>
        </m:r>
        <m:r>
          <m:rPr>
            <m:sty m:val="p"/>
          </m:rPr>
          <m:t>*</m:t>
        </m:r>
        <m:r>
          <m:rPr>
            <m:sty m:val="p"/>
          </m:rPr>
          <m:t>,</m:t>
        </m:r>
        <m:r>
          <m:t>h</m:t>
        </m:r>
        <m:r>
          <m:t>a</m:t>
        </m:r>
        <m:r>
          <m:t>v</m:t>
        </m:r>
        <m:r>
          <m:t>i</m:t>
        </m:r>
        <m:r>
          <m:t>n</m:t>
        </m:r>
        <m:r>
          <m:t>g</m:t>
        </m:r>
        <m:r>
          <m:t>r</m:t>
        </m:r>
        <m:r>
          <m:t>a</m:t>
        </m:r>
        <m:r>
          <m:t>l</m:t>
        </m:r>
        <m:r>
          <m:t>l</m:t>
        </m:r>
        <m:r>
          <m:t>i</m:t>
        </m:r>
        <m:r>
          <m:t>e</m:t>
        </m:r>
        <m:r>
          <m:t>d</m:t>
        </m:r>
        <m:r>
          <m:t> </m:t>
        </m:r>
        <m:r>
          <m:t>9</m:t>
        </m:r>
      </m:oMath>
      <w:r>
        <w:rPr>
          <w:b/>
          <w:bCs/>
        </w:rPr>
        <w:t xml:space="preserve">189</w:t>
      </w:r>
      <w:r>
        <w:t xml:space="preserve"> </w:t>
      </w:r>
      <w:r>
        <w:t xml:space="preserve">(April 10). Shares are pushing back toward all-time highs — meaning</w:t>
      </w:r>
      <w:r>
        <w:t xml:space="preserve"> </w:t>
      </w:r>
      <w:r>
        <w:rPr>
          <w:b/>
          <w:bCs/>
        </w:rPr>
        <w:t xml:space="preserve">expectations are elevated going in</w:t>
      </w:r>
      <w:r>
        <w:t xml:space="preserve">. Against a FY26 adjusted EPS midpoint (~$11.06), that's roughly a mid-20s forward multiple — a premium that leaves little room for a soft bookings number or a conservative FY27 guide.</w:t>
      </w:r>
    </w:p>
    <w:p>
      <w:pPr>
        <w:pStyle w:val="BodyText"/>
      </w:pPr>
      <w:r>
        <w:t xml:space="preserve">For context, peer</w:t>
      </w:r>
      <w:r>
        <w:t xml:space="preserve"> </w:t>
      </w:r>
      <w:r>
        <w:rPr>
          <w:b/>
          <w:bCs/>
        </w:rPr>
        <w:t xml:space="preserve">Paychex (PAYX)</w:t>
      </w:r>
      <w:r>
        <w:t xml:space="preserve"> </w:t>
      </w:r>
      <w:r>
        <w:t xml:space="preserve">has traded directionally with ADP through the year (</w:t>
      </w:r>
      <m:oMath>
        <m:r>
          <m:t>108</m:t>
        </m:r>
        <m:r>
          <m:rPr>
            <m:sty m:val="p"/>
          </m:rPr>
          <m:t>→</m:t>
        </m:r>
        <m:r>
          <m:t> </m:t>
        </m:r>
      </m:oMath>
      <w:r>
        <w:t xml:space="preserve">119), so sector-level float and small-business labor commentary will read across.</w:t>
      </w:r>
    </w:p>
    <w:p>
      <w:r>
        <w:pict>
          <v:rect style="width:0;height:1.5pt" o:hralign="center" o:hrstd="t" o:hr="t"/>
        </w:pict>
      </w:r>
    </w:p>
    <w:bookmarkEnd w:id="15"/>
    <w:bookmarkStart w:id="16" w:name="X3ccb2de1e57ec6532f329f85bebe121bb05831c"/>
    <w:p>
      <w:pPr>
        <w:pStyle w:val="Heading2"/>
      </w:pPr>
      <w:r>
        <w:t xml:space="preserve">6. What would make it a beat vs. a disappointment</w:t>
      </w:r>
    </w:p>
    <w:p>
      <w:pPr>
        <w:pStyle w:val="FirstParagraph"/>
      </w:pPr>
      <w:r>
        <w:rPr>
          <w:b/>
          <w:bCs/>
        </w:rPr>
        <w:t xml:space="preserve">Bullish reaction if:</w:t>
      </w:r>
    </w:p>
    <w:p>
      <w:pPr>
        <w:pStyle w:val="Compact"/>
        <w:numPr>
          <w:ilvl w:val="0"/>
          <w:numId w:val="1004"/>
        </w:numPr>
      </w:pPr>
      <w:r>
        <w:t xml:space="preserve">FY26 lands at/above the high end (rev ~7%, adj EPS ~11%)</w:t>
      </w:r>
    </w:p>
    <w:p>
      <w:pPr>
        <w:pStyle w:val="Compact"/>
        <w:numPr>
          <w:ilvl w:val="0"/>
          <w:numId w:val="1004"/>
        </w:numPr>
      </w:pPr>
      <w:r>
        <w:t xml:space="preserve">Q4 ES bookings in the upper half of 4–7% with an upbeat FY27 pipeline</w:t>
      </w:r>
    </w:p>
    <w:p>
      <w:pPr>
        <w:pStyle w:val="Compact"/>
        <w:numPr>
          <w:ilvl w:val="0"/>
          <w:numId w:val="1004"/>
        </w:numPr>
      </w:pPr>
      <w:r>
        <w:t xml:space="preserve">FY27 guidance shows margin expansion</w:t>
      </w:r>
      <w:r>
        <w:t xml:space="preserve"> </w:t>
      </w:r>
      <w:r>
        <w:rPr>
          <w:i/>
          <w:iCs/>
        </w:rPr>
        <w:t xml:space="preserve">accelerating</w:t>
      </w:r>
      <w:r>
        <w:t xml:space="preserve"> </w:t>
      </w:r>
      <w:r>
        <w:t xml:space="preserve">and revenue holding ~6%+</w:t>
      </w:r>
    </w:p>
    <w:p>
      <w:pPr>
        <w:pStyle w:val="Compact"/>
        <w:numPr>
          <w:ilvl w:val="0"/>
          <w:numId w:val="1004"/>
        </w:numPr>
      </w:pPr>
      <w:r>
        <w:t xml:space="preserve">Pays per control stable at ≥1%; retention holds near records</w:t>
      </w:r>
    </w:p>
    <w:p>
      <w:pPr>
        <w:pStyle w:val="FirstParagraph"/>
      </w:pPr>
      <w:r>
        <w:rPr>
          <w:b/>
          <w:bCs/>
        </w:rPr>
        <w:t xml:space="preserve">Bearish reaction if:</w:t>
      </w:r>
    </w:p>
    <w:p>
      <w:pPr>
        <w:pStyle w:val="Compact"/>
        <w:numPr>
          <w:ilvl w:val="0"/>
          <w:numId w:val="1005"/>
        </w:numPr>
      </w:pPr>
      <w:r>
        <w:t xml:space="preserve">Bookings disappoint or FY27 bookings guide is soft (leading indicator for FY27 revenue)</w:t>
      </w:r>
    </w:p>
    <w:p>
      <w:pPr>
        <w:pStyle w:val="Compact"/>
        <w:numPr>
          <w:ilvl w:val="0"/>
          <w:numId w:val="1005"/>
        </w:numPr>
      </w:pPr>
      <w:r>
        <w:t xml:space="preserve">Pays per control slips, reviving the AI job-loss narrative</w:t>
      </w:r>
    </w:p>
    <w:p>
      <w:pPr>
        <w:pStyle w:val="Compact"/>
        <w:numPr>
          <w:ilvl w:val="0"/>
          <w:numId w:val="1005"/>
        </w:numPr>
      </w:pPr>
      <w:r>
        <w:t xml:space="preserve">FY27 revenue/EPS guide comes in below the double-digit-EPS algorithm</w:t>
      </w:r>
    </w:p>
    <w:p>
      <w:pPr>
        <w:pStyle w:val="Compact"/>
        <w:numPr>
          <w:ilvl w:val="0"/>
          <w:numId w:val="1005"/>
        </w:numPr>
      </w:pPr>
      <w:r>
        <w:t xml:space="preserve">Conservative float assumptions weigh on the FY27 EPS bridge</w:t>
      </w:r>
    </w:p>
    <w:p>
      <w:r>
        <w:pict>
          <v:rect style="width:0;height:1.5pt" o:hralign="center" o:hrstd="t" o:hr="t"/>
        </w:pict>
      </w:r>
    </w:p>
    <w:p>
      <w:pPr>
        <w:pStyle w:val="FirstParagraph"/>
      </w:pPr>
      <w:r>
        <w:rPr>
          <w:i/>
          <w:iCs/>
        </w:rPr>
        <w:t xml:space="preserve">Note: I was unable to retrieve a clean sell-side consensus figure from external sources for this preview; the Q4 expectations above are derived from ADP's own raised FY26 guidance against reported nine-month actuals. All financial figures are sourced from ADP's Q3 FY26 and Q4 FY25 earnings releases and the Q3 FY26 earnings call. Treat the implied-Q4 math as a guidance-consistent range, not a formal Street estimate.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2026-07-29T00:32:45Z</dcterms:created>
  <dcterms:modified xsi:type="dcterms:W3CDTF">2026-07-29T00:32:45Z</dcterms:modified>
</cp:coreProperties>
</file>

<file path=docProps/custom.xml><?xml version="1.0" encoding="utf-8"?>
<Properties xmlns="http://schemas.openxmlformats.org/officeDocument/2006/custom-properties" xmlns:vt="http://schemas.openxmlformats.org/officeDocument/2006/docPropsVTypes"/>
</file>