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dp-earnings-predictions--2026-07-29"/>
    <w:p>
      <w:pPr>
        <w:pStyle w:val="Heading1"/>
      </w:pPr>
      <w:r>
        <w:t xml:space="preserve">ADP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(Q4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~$2.63 vs. cons $2.59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~$5.42B vs. cons $5.40B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 margin expansion (FY26 full-year, bps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~85bps vs. cons/guide-midpoint ~75bps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total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~6%-7% vs. cons ~6.5%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adjusted diluted EPS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~10%-11% vs. cons ~10%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FY2027 adjusted EBIT margin expansion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~80-90bps vs. cons/prior-year-pace ~70bps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U.S. pays-per-control initial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~0.5% vs. cons/FY26 pace ~1%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 new business bookings growth (Q4/FY26 actual vs full-year 4-7%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~6% vs. cons/guide-midpoint ~5.5% (FY2026 full year)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-1.2% (FADE)</w:t>
            </w:r>
          </w:p>
        </w:tc>
        <w:tc>
          <w:tcPr/>
          <w:p>
            <w:pPr>
              <w:pStyle w:val="Compact"/>
            </w:pPr>
            <w:r>
              <w:t xml:space="preserve">ADP rallied ~9% in the 3 sessions pre-print (264 vs 243) on sector-rotation flows out of AI-exposed chip/hyperscaler names into 'safe' quality compounders (Workday +9.3% same days), not on ADP-specific news — a large idiosyncratic cushion unrelated to the print itself. That sets up classic buy-the-rumor/sell-the-news risk: even a clean beat-and-raise (our base case) likely can't clear a bar that already prices in strong retention, bookings, and a credible FY27 framework. Expect an initial negative idiosyncratic reaction on day 1 as rotation-driven longs take profits, then partial mean-reversion over the week as underlying fundamentals (record retention, float income tailwind, credible FY27 margin/EPS algo) get reaffirmed by sell-side commentary and estimates aren't cut outright (implicit FY27 guide is roughly in line to slightly better) — hence fade of the initial drop rather than follow-through downside or full reversal.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2026-07-29T00:33:48Z</dcterms:created>
  <dcterms:modified xsi:type="dcterms:W3CDTF">2026-07-29T00:33:48Z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