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c2ac489a34c2415991d25fe59124a202e45b178"/>
    <w:p>
      <w:pPr>
        <w:pStyle w:val="Heading1"/>
      </w:pPr>
      <w:r>
        <w:t xml:space="preserve">ADP (Nasdaq: ADP) — Q4 FY2026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Xef59db0c1ea0085be39147b510d9ba18f6882f6"/>
    <w:p>
      <w:pPr>
        <w:pStyle w:val="Heading2"/>
      </w:pPr>
      <w:r>
        <w:t xml:space="preserve">1. Setup</w:t>
      </w:r>
    </w:p>
    <w:p>
      <w:pPr>
        <w:pStyle w:val="FirstParagraph"/>
      </w:pPr>
      <w:r>
        <w:t xml:space="preserve">ADP heads into tomorrow's print — its fiscal fourth quarter and full-year FY2026 report — on the back of three consecutive quarters of beat-and-raise results. In Q3 (reported April 29), the company reported 7% revenue growth, 80 basis points of adjusted EBIT margin expansion and 10% adjusted EPS growth, prompting management to raise full-year guidance across the board. Revenue hit $5.9 billion, adjusted EBIT margin expanded to 30.2%, and adjusted diluted EPS grew 10% to $3.37 — all ahead of Street expectations.</w:t>
      </w:r>
    </w:p>
    <w:p>
      <w:pPr>
        <w:pStyle w:val="BodyText"/>
      </w:pPr>
      <w:r>
        <w:t xml:space="preserve">Consensus for Q4 sits at roughly</w:t>
      </w:r>
      <w:r>
        <w:t xml:space="preserve"> </w:t>
      </w:r>
      <m:oMath>
        <m:r>
          <m:t>2.59</m:t>
        </m:r>
        <m:r>
          <m:t>E</m:t>
        </m:r>
        <m:r>
          <m:t>P</m:t>
        </m:r>
        <m:r>
          <m:t>S</m:t>
        </m:r>
        <m:r>
          <m:rPr>
            <m:sty m:val="p"/>
          </m:rPr>
          <m:t>*</m:t>
        </m:r>
        <m:r>
          <m:rPr>
            <m:sty m:val="p"/>
          </m:rPr>
          <m:t>*</m:t>
        </m:r>
        <m:r>
          <m:t>a</m:t>
        </m:r>
        <m:r>
          <m:t>n</m:t>
        </m:r>
        <m:r>
          <m:t>d</m:t>
        </m:r>
        <m:r>
          <m:rPr>
            <m:sty m:val="p"/>
          </m:rPr>
          <m:t>*</m:t>
        </m:r>
        <m:r>
          <m:rPr>
            <m:sty m:val="p"/>
          </m:rPr>
          <m:t>*</m:t>
        </m:r>
        <m:r>
          <m:t> </m:t>
        </m:r>
      </m:oMath>
      <w:r>
        <w:rPr>
          <w:b/>
          <w:bCs/>
        </w:rPr>
        <w:t xml:space="preserve">5.4 billion of revenue</w:t>
      </w:r>
      <w:r>
        <w:t xml:space="preserve">. Analysts expect the company's EPS to be $2.59 on a diluted basis, up 14.6% from $2.26 in the year-ago quarter, and the company has exceeded Wall Street's EPS estimates in each of its last four quarters. On the top line, the Zacks Consensus Estimate for the top line is set at $5.4 billion, indicating 5.9% year-over-year growth, with the consensus estimate for the ES segment revenues... pinned at $3.7 billion and PEO revenues around $1.8 billion.</w:t>
      </w:r>
    </w:p>
    <w:p>
      <w:pPr>
        <w:pStyle w:val="BodyText"/>
      </w:pPr>
      <w:r>
        <w:t xml:space="preserve">Backing into these numbers from ADP's own guidance framework, the implied Q4 figures line up well with Street estimates — a useful sanity check on whether the quarter is tracking to plan.</w:t>
      </w:r>
    </w:p>
    <w:p>
      <w:r>
        <w:pict>
          <v:rect style="width:0;height:1.5pt" o:hralign="center" o:hrstd="t" o:hr="t"/>
        </w:pict>
      </w:r>
    </w:p>
    <w:bookmarkEnd w:id="9"/>
    <w:bookmarkStart w:id="10" w:name="X82b07d243a26f7e7102536e7fc51d5f845cc88f"/>
    <w:p>
      <w:pPr>
        <w:pStyle w:val="Heading2"/>
      </w:pPr>
      <w:r>
        <w:t xml:space="preserve">2. What ADP Guided To Last Quarter (the bar to clear)</w:t>
      </w:r>
    </w:p>
    <w:p>
      <w:pPr>
        <w:pStyle w:val="FirstParagraph"/>
      </w:pPr>
      <w:r>
        <w:t xml:space="preserve">At Q3, ADP raised its full fiscal-2026 outlook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Prior Guide (Jan)</w:t>
            </w:r>
          </w:p>
        </w:tc>
        <w:tc>
          <w:tcPr/>
          <w:p>
            <w:pPr>
              <w:pStyle w:val="Compact"/>
            </w:pPr>
            <w:r>
              <w:t xml:space="preserve">Current Guide (Apr)</w:t>
            </w:r>
          </w:p>
        </w:tc>
      </w:tr>
      <w:tr>
        <w:tc>
          <w:tcPr/>
          <w:p>
            <w:pPr>
              <w:pStyle w:val="Compact"/>
            </w:pPr>
            <w:r>
              <w:t xml:space="preserve">Total revenue growth</w:t>
            </w:r>
          </w:p>
        </w:tc>
        <w:tc>
          <w:tcPr/>
          <w:p>
            <w:pPr>
              <w:pStyle w:val="Compact"/>
            </w:pPr>
            <w:r>
              <w:t xml:space="preserve">~6%</w:t>
            </w:r>
          </w:p>
        </w:tc>
        <w:tc>
          <w:tcPr/>
          <w:p>
            <w:pPr>
              <w:pStyle w:val="Compact"/>
            </w:pPr>
            <w:r>
              <w:rPr>
                <w:b/>
                <w:bCs/>
              </w:rPr>
              <w:t xml:space="preserve">6% to 7%</w:t>
            </w:r>
          </w:p>
        </w:tc>
      </w:tr>
      <w:tr>
        <w:tc>
          <w:tcPr/>
          <w:p>
            <w:pPr>
              <w:pStyle w:val="Compact"/>
            </w:pPr>
            <w:r>
              <w:t xml:space="preserve">Adjusted EBIT margin expansion</w:t>
            </w:r>
          </w:p>
        </w:tc>
        <w:tc>
          <w:tcPr/>
          <w:p>
            <w:pPr>
              <w:pStyle w:val="Compact"/>
            </w:pPr>
            <w:r>
              <w:t xml:space="preserve">50–70 bps</w:t>
            </w:r>
          </w:p>
        </w:tc>
        <w:tc>
          <w:tcPr/>
          <w:p>
            <w:pPr>
              <w:pStyle w:val="Compact"/>
            </w:pPr>
            <w:r>
              <w:rPr>
                <w:b/>
                <w:bCs/>
              </w:rPr>
              <w:t xml:space="preserve">70 to 80 bps</w:t>
            </w:r>
          </w:p>
        </w:tc>
      </w:tr>
      <w:tr>
        <w:tc>
          <w:tcPr/>
          <w:p>
            <w:pPr>
              <w:pStyle w:val="Compact"/>
            </w:pPr>
            <w:r>
              <w:t xml:space="preserve">Adjusted diluted EPS growth</w:t>
            </w:r>
          </w:p>
        </w:tc>
        <w:tc>
          <w:tcPr/>
          <w:p>
            <w:pPr>
              <w:pStyle w:val="Compact"/>
            </w:pPr>
            <w:r>
              <w:t xml:space="preserve">9–10%</w:t>
            </w:r>
          </w:p>
        </w:tc>
        <w:tc>
          <w:tcPr/>
          <w:p>
            <w:pPr>
              <w:pStyle w:val="Compact"/>
            </w:pPr>
            <w:r>
              <w:rPr>
                <w:b/>
                <w:bCs/>
              </w:rPr>
              <w:t xml:space="preserve">10% to 11%</w:t>
            </w:r>
          </w:p>
        </w:tc>
      </w:tr>
      <w:tr>
        <w:tc>
          <w:tcPr/>
          <w:p>
            <w:pPr>
              <w:pStyle w:val="Compact"/>
            </w:pPr>
            <w:r>
              <w:t xml:space="preserve">ES revenue growth</w:t>
            </w:r>
          </w:p>
        </w:tc>
        <w:tc>
          <w:tcPr/>
          <w:p>
            <w:pPr>
              <w:pStyle w:val="Compact"/>
            </w:pPr>
            <w:r>
              <w:t xml:space="preserve">~6%</w:t>
            </w:r>
          </w:p>
        </w:tc>
        <w:tc>
          <w:tcPr/>
          <w:p>
            <w:pPr>
              <w:pStyle w:val="Compact"/>
            </w:pPr>
            <w:r>
              <w:rPr>
                <w:b/>
                <w:bCs/>
              </w:rPr>
              <w:t xml:space="preserve">6% to 7%</w:t>
            </w:r>
          </w:p>
        </w:tc>
      </w:tr>
      <w:tr>
        <w:tc>
          <w:tcPr/>
          <w:p>
            <w:pPr>
              <w:pStyle w:val="Compact"/>
            </w:pPr>
            <w:r>
              <w:t xml:space="preserve">ES new business bookings growth</w:t>
            </w:r>
          </w:p>
        </w:tc>
        <w:tc>
          <w:tcPr/>
          <w:p>
            <w:pPr>
              <w:pStyle w:val="Compact"/>
            </w:pPr>
            <w:r>
              <w:t xml:space="preserve">4–7%</w:t>
            </w:r>
          </w:p>
        </w:tc>
        <w:tc>
          <w:tcPr/>
          <w:p>
            <w:pPr>
              <w:pStyle w:val="Compact"/>
            </w:pPr>
            <w:r>
              <w:rPr>
                <w:b/>
                <w:bCs/>
              </w:rPr>
              <w:t xml:space="preserve">4% to 7%</w:t>
            </w:r>
            <w:r>
              <w:t xml:space="preserve"> </w:t>
            </w:r>
            <w:r>
              <w:t xml:space="preserve">(unchanged)</w:t>
            </w:r>
          </w:p>
        </w:tc>
      </w:tr>
      <w:tr>
        <w:tc>
          <w:tcPr/>
          <w:p>
            <w:pPr>
              <w:pStyle w:val="Compact"/>
            </w:pPr>
            <w:r>
              <w:t xml:space="preserve">ES client revenue retention</w:t>
            </w:r>
          </w:p>
        </w:tc>
        <w:tc>
          <w:tcPr/>
          <w:p>
            <w:pPr>
              <w:pStyle w:val="Compact"/>
            </w:pPr>
            <w:r>
              <w:t xml:space="preserve">(30) to (10) bps</w:t>
            </w:r>
          </w:p>
        </w:tc>
        <w:tc>
          <w:tcPr/>
          <w:p>
            <w:pPr>
              <w:pStyle w:val="Compact"/>
            </w:pPr>
            <w:r>
              <w:rPr>
                <w:b/>
                <w:bCs/>
              </w:rPr>
              <w:t xml:space="preserve">(20) bps to flat</w:t>
            </w:r>
          </w:p>
        </w:tc>
      </w:tr>
      <w:tr>
        <w:tc>
          <w:tcPr/>
          <w:p>
            <w:pPr>
              <w:pStyle w:val="Compact"/>
            </w:pPr>
            <w:r>
              <w:t xml:space="preserve">U.S. pays per control</w:t>
            </w:r>
          </w:p>
        </w:tc>
        <w:tc>
          <w:tcPr/>
          <w:p>
            <w:pPr>
              <w:pStyle w:val="Compact"/>
            </w:pPr>
            <w:r>
              <w:t xml:space="preserve">~flat</w:t>
            </w:r>
          </w:p>
        </w:tc>
        <w:tc>
          <w:tcPr/>
          <w:p>
            <w:pPr>
              <w:pStyle w:val="Compact"/>
            </w:pPr>
            <w:r>
              <w:rPr>
                <w:b/>
                <w:bCs/>
              </w:rPr>
              <w:t xml:space="preserve">~1%</w:t>
            </w:r>
          </w:p>
        </w:tc>
      </w:tr>
      <w:tr>
        <w:tc>
          <w:tcPr/>
          <w:p>
            <w:pPr>
              <w:pStyle w:val="Compact"/>
            </w:pPr>
            <w:r>
              <w:t xml:space="preserve">PEO revenue growth</w:t>
            </w:r>
          </w:p>
        </w:tc>
        <w:tc>
          <w:tcPr/>
          <w:p>
            <w:pPr>
              <w:pStyle w:val="Compact"/>
            </w:pPr>
            <w:r>
              <w:t xml:space="preserve">5–7%</w:t>
            </w:r>
          </w:p>
        </w:tc>
        <w:tc>
          <w:tcPr/>
          <w:p>
            <w:pPr>
              <w:pStyle w:val="Compact"/>
            </w:pPr>
            <w:r>
              <w:rPr>
                <w:b/>
                <w:bCs/>
              </w:rPr>
              <w:t xml:space="preserve">6% to 7%</w:t>
            </w:r>
          </w:p>
        </w:tc>
      </w:tr>
      <w:tr>
        <w:tc>
          <w:tcPr/>
          <w:p>
            <w:pPr>
              <w:pStyle w:val="Compact"/>
            </w:pPr>
            <w:r>
              <w:t xml:space="preserve">Average client funds balances growth</w:t>
            </w:r>
          </w:p>
        </w:tc>
        <w:tc>
          <w:tcPr/>
          <w:p>
            <w:pPr>
              <w:pStyle w:val="Compact"/>
            </w:pPr>
            <w:r>
              <w:t xml:space="preserve">4–5%</w:t>
            </w:r>
          </w:p>
        </w:tc>
        <w:tc>
          <w:tcPr/>
          <w:p>
            <w:pPr>
              <w:pStyle w:val="Compact"/>
            </w:pPr>
            <w:r>
              <w:rPr>
                <w:b/>
                <w:bCs/>
              </w:rPr>
              <w:t xml:space="preserve">~6%</w:t>
            </w:r>
          </w:p>
        </w:tc>
      </w:tr>
      <w:tr>
        <w:tc>
          <w:tcPr/>
          <w:p>
            <w:pPr>
              <w:pStyle w:val="Compact"/>
            </w:pPr>
            <w:r>
              <w:t xml:space="preserve">Client funds interest revenue</w:t>
            </w:r>
          </w:p>
        </w:tc>
        <w:tc>
          <w:tcPr/>
          <w:p>
            <w:pPr>
              <w:pStyle w:val="Compact"/>
            </w:pPr>
            <w:r>
              <w:t xml:space="preserve">$1,310–1,330M</w:t>
            </w:r>
          </w:p>
        </w:tc>
        <w:tc>
          <w:tcPr/>
          <w:p>
            <w:pPr>
              <w:pStyle w:val="Compact"/>
            </w:pPr>
            <w:r>
              <w:rPr>
                <w:b/>
                <w:bCs/>
              </w:rPr>
              <w:t xml:space="preserve">$1,340–1,350M</w:t>
            </w:r>
          </w:p>
        </w:tc>
      </w:tr>
    </w:tbl>
    <w:p>
      <w:pPr>
        <w:pStyle w:val="BodyText"/>
      </w:pPr>
      <w:r>
        <w:t xml:space="preserve">Management attributed the raise to a combination of stronger client-funds balance growth, improving retention, a modest lift in the pricing contribution (now expected around 130 bps versus an original ~100 bp target), and healthy bookings momentum — with FX providing a temporary tailwind in Q3 that CFO Peter Hadley flagged would</w:t>
      </w:r>
      <w:r>
        <w:t xml:space="preserve"> </w:t>
      </w:r>
      <w:r>
        <w:rPr>
          <w:b/>
          <w:bCs/>
        </w:rPr>
        <w:t xml:space="preserve">moderate in Q4</w:t>
      </w:r>
      <w:r>
        <w:t xml:space="preserve">, a modest headwind to watch in tomorrow's print.</w:t>
      </w:r>
    </w:p>
    <w:p>
      <w:r>
        <w:pict>
          <v:rect style="width:0;height:1.5pt" o:hralign="center" o:hrstd="t" o:hr="t"/>
        </w:pict>
      </w:r>
    </w:p>
    <w:bookmarkEnd w:id="10"/>
    <w:bookmarkStart w:id="11" w:name="X05f7371caddc4fb392fca6dab8435da9dce5695"/>
    <w:p>
      <w:pPr>
        <w:pStyle w:val="Heading2"/>
      </w:pPr>
      <w:r>
        <w:t xml:space="preserve">3. Key Things to Watch in the Print</w:t>
      </w:r>
    </w:p>
    <w:p>
      <w:pPr>
        <w:pStyle w:val="FirstParagraph"/>
      </w:pPr>
      <w:r>
        <w:rPr>
          <w:b/>
          <w:bCs/>
        </w:rPr>
        <w:t xml:space="preserve">a) Bookings — the swing factor.</w:t>
      </w:r>
      <w:r>
        <w:t xml:space="preserve"> </w:t>
      </w:r>
      <w:r>
        <w:t xml:space="preserve">Q4 is seasonally the largest bookings quarter of the year, and management kept the full-year ES bookings guide at a wide 4%–7% range even after a strong Q3, noting sensitivity of roughly $20–21 million of bookings per percentage point. Strength was concentrated in international, compliance solutions, and small-business insurance/retirement attach — areas to confirm continued into Q4. Watch for confirmation of the ~50/50 new-logo vs. upsell mix cited last quarter.</w:t>
      </w:r>
    </w:p>
    <w:p>
      <w:pPr>
        <w:pStyle w:val="BodyText"/>
      </w:pPr>
      <w:r>
        <w:rPr>
          <w:b/>
          <w:bCs/>
        </w:rPr>
        <w:t xml:space="preserve">b) Retention and client satisfaction.</w:t>
      </w:r>
      <w:r>
        <w:t xml:space="preserve"> </w:t>
      </w:r>
      <w:r>
        <w:t xml:space="preserve">Both metrics hit third-quarter records last print, described by management as broad-based across international, enterprise, small business, and retirement services. Any continuation (or deceleration) of this trend is a key margin and revenue-durability signal.</w:t>
      </w:r>
    </w:p>
    <w:p>
      <w:pPr>
        <w:pStyle w:val="BodyText"/>
      </w:pPr>
      <w:r>
        <w:rPr>
          <w:b/>
          <w:bCs/>
        </w:rPr>
        <w:t xml:space="preserve">c) Pays-per-control / labor market sensitivity.</w:t>
      </w:r>
      <w:r>
        <w:t xml:space="preserve"> </w:t>
      </w:r>
      <w:r>
        <w:t xml:space="preserve">ADP's own macro data is a live risk factor here. The company's June National Employment Report showed private businesses in the US added 98K jobs in June 2026, below 122K in May and forecasts of 113K, and coverage noted "for now, the overall effect is a slowdown in job creation." ADP's FY26 guide calls for only ~1% U.S. pays-per-control growth; a continued labor-market cooldown is relevant both to the Q4 print and — more importantly — to any commentary on FY2027 pays-per-control assumptions.</w:t>
      </w:r>
    </w:p>
    <w:p>
      <w:pPr>
        <w:pStyle w:val="BodyText"/>
      </w:pPr>
      <w:r>
        <w:rPr>
          <w:b/>
          <w:bCs/>
        </w:rPr>
        <w:t xml:space="preserve">d) PEO margins.</w:t>
      </w:r>
      <w:r>
        <w:t xml:space="preserve"> </w:t>
      </w:r>
      <w:r>
        <w:t xml:space="preserve">PEO segment margin fell 120 bps in Q3 on higher zero-margin pass-throughs, elevated SUI costs, higher selling expenses tied to strong PEO sales, and smaller favorable workers' comp reserve releases than a year ago. Confirmation these were transitory (vs. a structural margin issue) matters for the segment outlook.</w:t>
      </w:r>
    </w:p>
    <w:p>
      <w:pPr>
        <w:pStyle w:val="BodyText"/>
      </w:pPr>
      <w:r>
        <w:rPr>
          <w:b/>
          <w:bCs/>
        </w:rPr>
        <w:t xml:space="preserve">e) Client funds interest income / the "float."</w:t>
      </w:r>
      <w:r>
        <w:t xml:space="preserve"> </w:t>
      </w:r>
      <w:r>
        <w:t xml:space="preserve">With average client funds balances now guided to grow ~6% and yield near 3.4%, this remains an underappreciated earnings driver. Management's early framing for FY27 pointed to continued upside here as maturing securities roll into higher-yielding reinvestment.</w:t>
      </w:r>
    </w:p>
    <w:p>
      <w:pPr>
        <w:pStyle w:val="BodyText"/>
      </w:pPr>
      <w:r>
        <w:rPr>
          <w:b/>
          <w:bCs/>
        </w:rPr>
        <w:t xml:space="preserve">f) AI strategy and monetization.</w:t>
      </w:r>
      <w:r>
        <w:t xml:space="preserve"> </w:t>
      </w:r>
      <w:r>
        <w:t xml:space="preserve">This has been the single biggest swing factor for sentiment on the stock over the past year. Management has been emphasizing: ADP Assist agentic tools launched in January (payroll agents saving ~30 minutes per payroll run, Smart Actions cutting clicks ~80% for common HR tasks); The Zone service platform (20% of service population as of March, targeting &gt;40% by fiscal year-end); and Lyric HCM traction, including a newly won 30-country enterprise payroll transformation deal and deepening system-integrator partnerships (Accenture, EY, KPMG). Investors will want fresh data points on adoption, monetization (pricing capture vs. pure efficiency/cost savings), and whether competitive pressure from AI-native HR entrants has changed at all.</w:t>
      </w:r>
    </w:p>
    <w:p>
      <w:pPr>
        <w:pStyle w:val="BodyText"/>
      </w:pPr>
      <w:r>
        <w:rPr>
          <w:b/>
          <w:bCs/>
        </w:rPr>
        <w:t xml:space="preserve">g) Initial FY2027 guidance.</w:t>
      </w:r>
      <w:r>
        <w:t xml:space="preserve"> </w:t>
      </w:r>
      <w:r>
        <w:t xml:space="preserve">This is arguably the most important new information tomorrow. Management previewed three FY27 themes on the Q3 call: (1) continued acceleration in adjusted EBIT margin expansion as AI-driven productivity scales, (2) continued tailwinds from the client funds portfolio as reinvestment rates stay above maturing yields, and (3)</w:t>
      </w:r>
      <w:r>
        <w:t xml:space="preserve"> </w:t>
      </w:r>
      <w:r>
        <w:rPr>
          <w:b/>
          <w:bCs/>
        </w:rPr>
        <w:t xml:space="preserve">share repurchases continuing at or above the elevated pace seen in FY26</w:t>
      </w:r>
      <w:r>
        <w:t xml:space="preserve"> </w:t>
      </w:r>
      <w:r>
        <w:t xml:space="preserve">throughout FY27, in addition to ongoing dividend growth. The market will be looking for hard numbers behind these qualitative comments — initial FY27 revenue growth, margin expansion, and EPS growth targets. Street currently models roughly 10% EPS growth for FY27 (consensus near $12+ per share) off an FY26 base expected to land near $11.</w:t>
      </w:r>
    </w:p>
    <w:p>
      <w:r>
        <w:pict>
          <v:rect style="width:0;height:1.5pt" o:hralign="center" o:hrstd="t" o:hr="t"/>
        </w:pict>
      </w:r>
    </w:p>
    <w:bookmarkEnd w:id="11"/>
    <w:bookmarkStart w:id="12" w:name="X298257f710a283a4ca43228326b80deaeab1110"/>
    <w:p>
      <w:pPr>
        <w:pStyle w:val="Heading2"/>
      </w:pPr>
      <w:r>
        <w:t xml:space="preserve">4. Stock Setup Heading Into the Print</w:t>
      </w:r>
    </w:p>
    <w:p>
      <w:pPr>
        <w:pStyle w:val="FirstParagraph"/>
      </w:pPr>
      <w:r>
        <w:t xml:space="preserve">ADP has had a volatile year. ADP stock has declined 20.6% over the past 52 weeks, underperforming the S&amp;P 500 Index's 19.2% rise as of early July, reflecting an AI-driven de-rating of "seat-based" HCM software business models that dragged shares from January highs near $266 down to an April low near $189. The stock then staged a sharp recovery: on Apr. 29, ADP stock rose 8% following the release of its Q3 2026 earnings, and shares have continued climbing into the print, closing around $264 on July 28 — near their 52-week high.</w:t>
      </w:r>
    </w:p>
    <w:p>
      <w:pPr>
        <w:pStyle w:val="BodyText"/>
      </w:pPr>
      <w:r>
        <w:t xml:space="preserve">Sentiment has been improving on the sell side. Wells Fargo upgraded the stock to Equal Weight from Underweight in May, and heading into earnings Stifel increased its price target to $260, and Wells Fargo raised its target to $248 in July 2026, citing a more positive outlook for float income and stabilizing operating trends. More broadly, analysts have raised their average price target on Automatic Data Processing to about $258 from roughly $247, citing achievable fintech earnings expectations, stable employment trends that support payroll and HCM demand, and updated models. That said, the rating mix remains cautious — analysts are skeptical about ADP, with the stock having a "Hold" rating overall, and price-target dispersion is wide: recent moves have ranged from Morgan Stanley cutting to $274 (Equal Weight) and Citigroup trimming to $230 (Neutral), to TD Cowen nudging up to $223 (Hold) and Argus cutting to $240 while keeping a Buy. Several bearish analysts have reduced price targets, indicating concerns around valuation or execution even as others raise their targets — a fair summary of the debate investors face tomorrow: has the AI-disruption discount been fully unwound, or has the recent rally run ahead of fundamentals?</w:t>
      </w:r>
    </w:p>
    <w:p>
      <w:r>
        <w:pict>
          <v:rect style="width:0;height:1.5pt" o:hralign="center" o:hrstd="t" o:hr="t"/>
        </w:pict>
      </w:r>
    </w:p>
    <w:bookmarkEnd w:id="12"/>
    <w:bookmarkStart w:id="13" w:name="X57628814808a35a4369fd5359a6196ebc53c3e9"/>
    <w:p>
      <w:pPr>
        <w:pStyle w:val="Heading2"/>
      </w:pPr>
      <w:r>
        <w:t xml:space="preserve">5. Bottom Line</w:t>
      </w:r>
    </w:p>
    <w:p>
      <w:pPr>
        <w:pStyle w:val="FirstParagraph"/>
      </w:pPr>
      <w:r>
        <w:t xml:space="preserve">ADP has a strong recent track record of beating and raising, and the setup into Q4 looks constructive — record retention, broad-based bookings strength, a growing float tailwind, and visible AI-driven productivity gains funding margin expansion even while the company invests heavily in its transformation. The stock's sharp rally into the print, however, means expectations are elevated, and the bar for a positive reaction may require more than an in-line beat — likely a credible, numbers-backed FY2027 framework (margin expansion cadence, buyback pace, EPS growth) alongside reassurance that bookings and retention momentum carried through the seasonally critical fourth quarter, despite a visibly cooling U.S. labor market.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2026-07-29T00:33:48Z</dcterms:created>
  <dcterms:modified xsi:type="dcterms:W3CDTF">2026-07-29T00:33:48Z</dcterms:modified>
</cp:coreProperties>
</file>

<file path=docProps/custom.xml><?xml version="1.0" encoding="utf-8"?>
<Properties xmlns="http://schemas.openxmlformats.org/officeDocument/2006/custom-properties" xmlns:vt="http://schemas.openxmlformats.org/officeDocument/2006/docPropsVTypes"/>
</file>