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adp-fiscal-q4-2026-earnings-preview"/>
    <w:p>
      <w:pPr>
        <w:pStyle w:val="Heading1"/>
      </w:pPr>
      <w:r>
        <w:t xml:space="preserve">ADP Fiscal Q4 2026 Earnings Preview</w:t>
      </w:r>
    </w:p>
    <w:p>
      <w:pPr>
        <w:pStyle w:val="BlockText"/>
      </w:pPr>
      <w:r>
        <w:rPr>
          <w:b/>
          <w:bCs/>
        </w:rPr>
        <w:t xml:space="preserve">Timing note:</w:t>
      </w:r>
      <w:r>
        <w:t xml:space="preserve"> </w:t>
      </w:r>
      <w:r>
        <w:t xml:space="preserve">ADP is scheduled to release results</w:t>
      </w:r>
      <w:r>
        <w:t xml:space="preserve"> </w:t>
      </w:r>
      <w:r>
        <w:rPr>
          <w:b/>
          <w:bCs/>
        </w:rPr>
        <w:t xml:space="preserve">before the Nasdaq open today, Wednesday, July 29, 2026</w:t>
      </w:r>
      <w:r>
        <w:t xml:space="preserve">, followed by an</w:t>
      </w:r>
      <w:r>
        <w:t xml:space="preserve"> </w:t>
      </w:r>
      <w:r>
        <w:rPr>
          <w:b/>
          <w:bCs/>
        </w:rPr>
        <w:t xml:space="preserve">8:30 a.m. ET</w:t>
      </w:r>
      <w:r>
        <w:t xml:space="preserve"> </w:t>
      </w:r>
      <w:r>
        <w:t xml:space="preserve">conference call—not tomorrow. (</w:t>
      </w:r>
      <w:hyperlink r:id="rId9">
        <w:r>
          <w:rPr>
            <w:rStyle w:val="Hyperlink"/>
          </w:rPr>
          <w:t xml:space="preserve">mediacenter.adp.com</w:t>
        </w:r>
      </w:hyperlink>
      <w:r>
        <w:t xml:space="preserve">)</w:t>
      </w:r>
    </w:p>
    <w:bookmarkStart w:id="11" w:name="executive-view"/>
    <w:p>
      <w:pPr>
        <w:pStyle w:val="Heading2"/>
      </w:pPr>
      <w:r>
        <w:t xml:space="preserve">Executive view</w:t>
      </w:r>
    </w:p>
    <w:p>
      <w:pPr>
        <w:pStyle w:val="FirstParagraph"/>
      </w:pPr>
      <w:r>
        <w:t xml:space="preserve">ADP enters fiscal Q4 with solid operating momentum, improving margins, record retention and favorable client-funds economics. The quarter itself should be relatively straightforward: consensus estimates sit near the middle of management’s implied full-year range.</w:t>
      </w:r>
    </w:p>
    <w:p>
      <w:pPr>
        <w:pStyle w:val="BodyText"/>
      </w:pPr>
      <w:r>
        <w:t xml:space="preserve">The more consequential information will be:</w:t>
      </w:r>
    </w:p>
    <w:p>
      <w:pPr>
        <w:pStyle w:val="Compact"/>
        <w:numPr>
          <w:ilvl w:val="0"/>
          <w:numId w:val="1001"/>
        </w:numPr>
      </w:pPr>
      <w:r>
        <w:rPr>
          <w:b/>
          <w:bCs/>
        </w:rPr>
        <w:t xml:space="preserve">The final Employer Services bookings result</w:t>
      </w:r>
    </w:p>
    <w:p>
      <w:pPr>
        <w:pStyle w:val="Compact"/>
        <w:numPr>
          <w:ilvl w:val="0"/>
          <w:numId w:val="1001"/>
        </w:numPr>
      </w:pPr>
      <w:r>
        <w:rPr>
          <w:b/>
          <w:bCs/>
        </w:rPr>
        <w:t xml:space="preserve">Initial fiscal 2027 guidance</w:t>
      </w:r>
    </w:p>
    <w:p>
      <w:pPr>
        <w:pStyle w:val="Compact"/>
        <w:numPr>
          <w:ilvl w:val="0"/>
          <w:numId w:val="1001"/>
        </w:numPr>
      </w:pPr>
      <w:r>
        <w:rPr>
          <w:b/>
          <w:bCs/>
        </w:rPr>
        <w:t xml:space="preserve">Whether AI-driven productivity can accelerate margin expansion</w:t>
      </w:r>
    </w:p>
    <w:p>
      <w:pPr>
        <w:pStyle w:val="Compact"/>
        <w:numPr>
          <w:ilvl w:val="0"/>
          <w:numId w:val="1001"/>
        </w:numPr>
      </w:pPr>
      <w:r>
        <w:rPr>
          <w:b/>
          <w:bCs/>
        </w:rPr>
        <w:t xml:space="preserve">How management frames a cooling employment backdrop</w:t>
      </w:r>
    </w:p>
    <w:p>
      <w:pPr>
        <w:pStyle w:val="Compact"/>
        <w:numPr>
          <w:ilvl w:val="0"/>
          <w:numId w:val="1001"/>
        </w:numPr>
      </w:pPr>
      <w:r>
        <w:rPr>
          <w:b/>
          <w:bCs/>
        </w:rPr>
        <w:t xml:space="preserve">Whether PEO growth and margins stabilize</w:t>
      </w:r>
    </w:p>
    <w:p>
      <w:pPr>
        <w:pStyle w:val="FirstParagraph"/>
      </w:pPr>
      <w:r>
        <w:t xml:space="preserve">With the stock closing near</w:t>
      </w:r>
      <w:r>
        <w:t xml:space="preserve"> </w:t>
      </w:r>
      <w:r>
        <w:rPr>
          <w:b/>
          <w:bCs/>
        </w:rPr>
        <w:t xml:space="preserve">$264 on July 28</w:t>
      </w:r>
      <w:r>
        <w:t xml:space="preserve">, up approximately 33% from the day before the Q3 report, investors appear to have priced in considerably more than a routine Q4 beat. The shares trade at roughly</w:t>
      </w:r>
      <w:r>
        <w:t xml:space="preserve"> </w:t>
      </w:r>
      <w:r>
        <w:rPr>
          <w:b/>
          <w:bCs/>
        </w:rPr>
        <w:t xml:space="preserve">21.7 times the $12.19 fiscal 2027 consensus EPS estimate</w:t>
      </w:r>
      <w:r>
        <w:t xml:space="preserve">, leaving the setup dependent on a credible above-trend fiscal 2027 outlook. (</w:t>
      </w:r>
      <w:hyperlink r:id="rId10">
        <w:r>
          <w:rPr>
            <w:rStyle w:val="Hyperlink"/>
          </w:rPr>
          <w:t xml:space="preserve">stage.zacks.com</w:t>
        </w:r>
      </w:hyperlink>
      <w:r>
        <w:t xml:space="preserve">)</w:t>
      </w:r>
    </w:p>
    <w:bookmarkEnd w:id="11"/>
    <w:bookmarkStart w:id="13" w:name="expectations-and-implied-guidance"/>
    <w:p>
      <w:pPr>
        <w:pStyle w:val="Heading2"/>
      </w:pPr>
      <w:r>
        <w:t xml:space="preserve">Expectations and implied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Q4 FY2026 expectation</w:t>
            </w:r>
          </w:p>
        </w:tc>
        <w:tc>
          <w:tcPr/>
          <w:p>
            <w:pPr>
              <w:pStyle w:val="Compact"/>
              <w:jc w:val="right"/>
            </w:pPr>
            <w:r>
              <w:t xml:space="preserve">Q4 FY2025 actual</w:t>
            </w:r>
          </w:p>
        </w:tc>
        <w:tc>
          <w:tcPr/>
          <w:p>
            <w:pPr>
              <w:pStyle w:val="Compact"/>
              <w:jc w:val="right"/>
            </w:pPr>
            <w:r>
              <w:t xml:space="preserve">Approx. YoY growth</w:t>
            </w:r>
          </w:p>
        </w:tc>
      </w:tr>
      <w:tr>
        <w:tc>
          <w:tcPr/>
          <w:p>
            <w:pPr>
              <w:pStyle w:val="Compact"/>
            </w:pPr>
            <w:r>
              <w:t xml:space="preserve">Revenue</w:t>
            </w:r>
          </w:p>
        </w:tc>
        <w:tc>
          <w:tcPr/>
          <w:p>
            <w:pPr>
              <w:pStyle w:val="Compact"/>
              <w:jc w:val="right"/>
            </w:pPr>
            <w:r>
              <w:rPr>
                <w:b/>
                <w:bCs/>
              </w:rPr>
              <w:t xml:space="preserve">$5.44 billion</w:t>
            </w:r>
          </w:p>
        </w:tc>
        <w:tc>
          <w:tcPr/>
          <w:p>
            <w:pPr>
              <w:pStyle w:val="Compact"/>
              <w:jc w:val="right"/>
            </w:pPr>
            <w:r>
              <w:t xml:space="preserve">$5.13 billion</w:t>
            </w:r>
          </w:p>
        </w:tc>
        <w:tc>
          <w:tcPr/>
          <w:p>
            <w:pPr>
              <w:pStyle w:val="Compact"/>
              <w:jc w:val="right"/>
            </w:pPr>
            <w:r>
              <w:rPr>
                <w:b/>
                <w:bCs/>
              </w:rPr>
              <w:t xml:space="preserve">6%</w:t>
            </w:r>
          </w:p>
        </w:tc>
      </w:tr>
      <w:tr>
        <w:tc>
          <w:tcPr/>
          <w:p>
            <w:pPr>
              <w:pStyle w:val="Compact"/>
            </w:pPr>
            <w:r>
              <w:t xml:space="preserve">Adjusted EPS</w:t>
            </w:r>
          </w:p>
        </w:tc>
        <w:tc>
          <w:tcPr/>
          <w:p>
            <w:pPr>
              <w:pStyle w:val="Compact"/>
              <w:jc w:val="right"/>
            </w:pPr>
            <m:oMath>
              <m:r>
                <m:t>2.59</m:t>
              </m:r>
              <m:r>
                <m:rPr>
                  <m:sty m:val="p"/>
                </m:rPr>
                <m:t>–</m:t>
              </m:r>
            </m:oMath>
            <w:r>
              <w:rPr>
                <w:b/>
                <w:bCs/>
              </w:rPr>
              <w:t xml:space="preserve">2.60</w:t>
            </w:r>
          </w:p>
        </w:tc>
        <w:tc>
          <w:tcPr/>
          <w:p>
            <w:pPr>
              <w:pStyle w:val="Compact"/>
              <w:jc w:val="right"/>
            </w:pPr>
            <w:r>
              <w:t xml:space="preserve">$2.26</w:t>
            </w:r>
          </w:p>
        </w:tc>
        <w:tc>
          <w:tcPr/>
          <w:p>
            <w:pPr>
              <w:pStyle w:val="Compact"/>
              <w:jc w:val="right"/>
            </w:pPr>
            <w:r>
              <w:rPr>
                <w:b/>
                <w:bCs/>
              </w:rPr>
              <w:t xml:space="preserve">15%</w:t>
            </w:r>
          </w:p>
        </w:tc>
      </w:tr>
    </w:tbl>
    <w:p>
      <w:pPr>
        <w:pStyle w:val="BodyText"/>
      </w:pPr>
      <w:r>
        <w:t xml:space="preserve">Published estimates vary slightly by provider, but the consensus is approximately $5.44 billion of revenue and</w:t>
      </w:r>
      <w:r>
        <w:t xml:space="preserve"> </w:t>
      </w:r>
      <m:oMath>
        <m:r>
          <m:t>2.59</m:t>
        </m:r>
        <m:r>
          <m:rPr>
            <m:sty m:val="p"/>
          </m:rPr>
          <m:t>–</m:t>
        </m:r>
      </m:oMath>
      <w:r>
        <w:t xml:space="preserve">2.60 of adjusted EPS. (</w:t>
      </w:r>
      <w:hyperlink r:id="rId12">
        <w:r>
          <w:rPr>
            <w:rStyle w:val="Hyperlink"/>
          </w:rPr>
          <w:t xml:space="preserve">marketbeat.com</w:t>
        </w:r>
      </w:hyperlink>
      <w:r>
        <w:t xml:space="preserve">)</w:t>
      </w:r>
    </w:p>
    <w:p>
      <w:pPr>
        <w:pStyle w:val="BodyText"/>
      </w:pPr>
      <w:r>
        <w:t xml:space="preserve">ADP’s current full-year guidance implies: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Fiscal 2026 metric</w:t>
            </w:r>
          </w:p>
        </w:tc>
        <w:tc>
          <w:tcPr/>
          <w:p>
            <w:pPr>
              <w:pStyle w:val="Compact"/>
              <w:jc w:val="right"/>
            </w:pPr>
            <w:r>
              <w:t xml:space="preserve">Company guidance</w:t>
            </w:r>
          </w:p>
        </w:tc>
        <w:tc>
          <w:tcPr/>
          <w:p>
            <w:pPr>
              <w:pStyle w:val="Compact"/>
              <w:jc w:val="right"/>
            </w:pPr>
            <w:r>
              <w:t xml:space="preserve">Implied Q4 range</w:t>
            </w:r>
          </w:p>
        </w:tc>
      </w:tr>
      <w:tr>
        <w:tc>
          <w:tcPr/>
          <w:p>
            <w:pPr>
              <w:pStyle w:val="Compact"/>
            </w:pPr>
            <w:r>
              <w:t xml:space="preserve">Revenue growth</w:t>
            </w:r>
          </w:p>
        </w:tc>
        <w:tc>
          <w:tcPr/>
          <w:p>
            <w:pPr>
              <w:pStyle w:val="Compact"/>
              <w:jc w:val="right"/>
            </w:pPr>
            <w:r>
              <w:t xml:space="preserve">6%–7%</w:t>
            </w:r>
          </w:p>
        </w:tc>
        <w:tc>
          <w:tcPr/>
          <w:p>
            <w:pPr>
              <w:pStyle w:val="Compact"/>
              <w:jc w:val="right"/>
            </w:pPr>
            <m:oMath>
              <m:r>
                <m:t>5.32</m:t>
              </m:r>
              <m:r>
                <m:t>B</m:t>
              </m:r>
              <m:r>
                <m:rPr>
                  <m:sty m:val="p"/>
                </m:rPr>
                <m:t>–</m:t>
              </m:r>
            </m:oMath>
            <w:r>
              <w:rPr>
                <w:b/>
                <w:bCs/>
              </w:rPr>
              <w:t xml:space="preserve">5.53B</w:t>
            </w:r>
          </w:p>
        </w:tc>
      </w:tr>
      <w:tr>
        <w:tc>
          <w:tcPr/>
          <w:p>
            <w:pPr>
              <w:pStyle w:val="Compact"/>
            </w:pPr>
            <w:r>
              <w:t xml:space="preserve">Adjusted EBIT margin expansion</w:t>
            </w:r>
          </w:p>
        </w:tc>
        <w:tc>
          <w:tcPr/>
          <w:p>
            <w:pPr>
              <w:pStyle w:val="Compact"/>
              <w:jc w:val="right"/>
            </w:pPr>
            <w:r>
              <w:t xml:space="preserve">70–80 bps</w:t>
            </w:r>
          </w:p>
        </w:tc>
        <w:tc>
          <w:tcPr/>
          <w:p>
            <w:pPr>
              <w:pStyle w:val="Compact"/>
              <w:jc w:val="right"/>
            </w:pPr>
            <w:r>
              <w:t xml:space="preserve">—</w:t>
            </w:r>
          </w:p>
        </w:tc>
      </w:tr>
      <w:tr>
        <w:tc>
          <w:tcPr/>
          <w:p>
            <w:pPr>
              <w:pStyle w:val="Compact"/>
            </w:pPr>
            <w:r>
              <w:t xml:space="preserve">Adjusted EPS growth</w:t>
            </w:r>
          </w:p>
        </w:tc>
        <w:tc>
          <w:tcPr/>
          <w:p>
            <w:pPr>
              <w:pStyle w:val="Compact"/>
              <w:jc w:val="right"/>
            </w:pPr>
            <w:r>
              <w:t xml:space="preserve">10%–11%</w:t>
            </w:r>
          </w:p>
        </w:tc>
        <w:tc>
          <w:tcPr/>
          <w:p>
            <w:pPr>
              <w:pStyle w:val="Compact"/>
              <w:jc w:val="right"/>
            </w:pPr>
            <m:oMath>
              <m:r>
                <m:t>2.53</m:t>
              </m:r>
              <m:r>
                <m:rPr>
                  <m:sty m:val="p"/>
                </m:rPr>
                <m:t>–</m:t>
              </m:r>
            </m:oMath>
            <w:r>
              <w:rPr>
                <w:b/>
                <w:bCs/>
              </w:rPr>
              <w:t xml:space="preserve">2.63</w:t>
            </w:r>
          </w:p>
        </w:tc>
      </w:tr>
      <w:tr>
        <w:tc>
          <w:tcPr/>
          <w:p>
            <w:pPr>
              <w:pStyle w:val="Compact"/>
            </w:pPr>
            <w:r>
              <w:t xml:space="preserve">Employer Services bookings growth</w:t>
            </w:r>
          </w:p>
        </w:tc>
        <w:tc>
          <w:tcPr/>
          <w:p>
            <w:pPr>
              <w:pStyle w:val="Compact"/>
              <w:jc w:val="right"/>
            </w:pPr>
            <w:r>
              <w:t xml:space="preserve">4%–7%</w:t>
            </w:r>
          </w:p>
        </w:tc>
        <w:tc>
          <w:tcPr/>
          <w:p>
            <w:pPr>
              <w:pStyle w:val="Compact"/>
              <w:jc w:val="right"/>
            </w:pPr>
            <w:r>
              <w:t xml:space="preserve">Key Q4 variable</w:t>
            </w:r>
          </w:p>
        </w:tc>
      </w:tr>
      <w:tr>
        <w:tc>
          <w:tcPr/>
          <w:p>
            <w:pPr>
              <w:pStyle w:val="Compact"/>
            </w:pPr>
            <w:r>
              <w:t xml:space="preserve">Employer Services retention</w:t>
            </w:r>
          </w:p>
        </w:tc>
        <w:tc>
          <w:tcPr/>
          <w:p>
            <w:pPr>
              <w:pStyle w:val="Compact"/>
              <w:jc w:val="right"/>
            </w:pPr>
            <w:r>
              <w:t xml:space="preserve">Down 20 bps to flat</w:t>
            </w:r>
          </w:p>
        </w:tc>
        <w:tc>
          <w:tcPr/>
          <w:p>
            <w:pPr>
              <w:pStyle w:val="Compact"/>
              <w:jc w:val="right"/>
            </w:pPr>
            <w:r>
              <w:t xml:space="preserve">—</w:t>
            </w:r>
          </w:p>
        </w:tc>
      </w:tr>
      <w:tr>
        <w:tc>
          <w:tcPr/>
          <w:p>
            <w:pPr>
              <w:pStyle w:val="Compact"/>
            </w:pPr>
            <w:r>
              <w:t xml:space="preserve">U.S. pays per control</w:t>
            </w:r>
          </w:p>
        </w:tc>
        <w:tc>
          <w:tcPr/>
          <w:p>
            <w:pPr>
              <w:pStyle w:val="Compact"/>
              <w:jc w:val="right"/>
            </w:pPr>
            <w:r>
              <w:t xml:space="preserve">Approximately 1%</w:t>
            </w:r>
          </w:p>
        </w:tc>
        <w:tc>
          <w:tcPr/>
          <w:p>
            <w:pPr>
              <w:pStyle w:val="Compact"/>
              <w:jc w:val="right"/>
            </w:pPr>
            <w:r>
              <w:t xml:space="preserve">—</w:t>
            </w:r>
          </w:p>
        </w:tc>
      </w:tr>
      <w:tr>
        <w:tc>
          <w:tcPr/>
          <w:p>
            <w:pPr>
              <w:pStyle w:val="Compact"/>
            </w:pPr>
            <w:r>
              <w:t xml:space="preserve">PEO average worksite employees</w:t>
            </w:r>
          </w:p>
        </w:tc>
        <w:tc>
          <w:tcPr/>
          <w:p>
            <w:pPr>
              <w:pStyle w:val="Compact"/>
              <w:jc w:val="right"/>
            </w:pPr>
            <w:r>
              <w:t xml:space="preserve">Approximately 2%</w:t>
            </w:r>
          </w:p>
        </w:tc>
        <w:tc>
          <w:tcPr/>
          <w:p>
            <w:pPr>
              <w:pStyle w:val="Compact"/>
              <w:jc w:val="right"/>
            </w:pPr>
            <w:r>
              <w:t xml:space="preserve">—</w:t>
            </w:r>
          </w:p>
        </w:tc>
      </w:tr>
    </w:tbl>
    <w:p>
      <w:pPr>
        <w:pStyle w:val="BodyText"/>
      </w:pPr>
      <w:r>
        <w:t xml:space="preserve">Thus, consensus is almost exactly at the midpoint of the implied revenue and EPS ranges. A modest headline beat would be welcome, but probably insufficient by itself to drive the stock higher.</w:t>
      </w:r>
    </w:p>
    <w:bookmarkEnd w:id="13"/>
    <w:bookmarkStart w:id="21" w:name="what-adp-must-deliver"/>
    <w:p>
      <w:pPr>
        <w:pStyle w:val="Heading2"/>
      </w:pPr>
      <w:r>
        <w:t xml:space="preserve">What ADP must deliver</w:t>
      </w:r>
    </w:p>
    <w:bookmarkStart w:id="15" w:name="X7d882f259595bfcf961440dafdfe4334ab23963"/>
    <w:p>
      <w:pPr>
        <w:pStyle w:val="Heading3"/>
      </w:pPr>
      <w:r>
        <w:t xml:space="preserve">1. Bookings are the most important fiscal 2026 result</w:t>
      </w:r>
    </w:p>
    <w:p>
      <w:pPr>
        <w:pStyle w:val="FirstParagraph"/>
      </w:pPr>
      <w:r>
        <w:t xml:space="preserve">Management maintained a relatively wide</w:t>
      </w:r>
      <w:r>
        <w:t xml:space="preserve"> </w:t>
      </w:r>
      <w:r>
        <w:rPr>
          <w:b/>
          <w:bCs/>
        </w:rPr>
        <w:t xml:space="preserve">4%–7% Employer Services new-business bookings growth</w:t>
      </w:r>
      <w:r>
        <w:t xml:space="preserve"> </w:t>
      </w:r>
      <w:r>
        <w:t xml:space="preserve">range after Q3 because Q4 is a major selling quarter. It described pipelines as healthy, with particular strength in international, compliance, insurance and retirement offerings.</w:t>
      </w:r>
    </w:p>
    <w:p>
      <w:pPr>
        <w:pStyle w:val="BodyText"/>
      </w:pPr>
      <w:r>
        <w:t xml:space="preserve">The final bookings result matters more than its immediate accounting impact because bookings establish the base for future revenue as clients are implemented. Management previously quantified each percentage point of bookings growth as approximately</w:t>
      </w:r>
      <w:r>
        <w:t xml:space="preserve"> </w:t>
      </w:r>
      <m:oMath>
        <m:r>
          <m:t>20</m:t>
        </m:r>
        <m:r>
          <m:t>m</m:t>
        </m:r>
        <m:r>
          <m:t>i</m:t>
        </m:r>
        <m:r>
          <m:t>l</m:t>
        </m:r>
        <m:r>
          <m:t>l</m:t>
        </m:r>
        <m:r>
          <m:t>i</m:t>
        </m:r>
        <m:r>
          <m:t>o</m:t>
        </m:r>
        <m:r>
          <m:t>n</m:t>
        </m:r>
        <m:r>
          <m:rPr>
            <m:sty m:val="p"/>
          </m:rPr>
          <m:t>–</m:t>
        </m:r>
      </m:oMath>
      <w:r>
        <w:rPr>
          <w:b/>
          <w:bCs/>
        </w:rPr>
        <w:t xml:space="preserve">21 million</w:t>
      </w:r>
      <w:r>
        <w:t xml:space="preserve">.</w:t>
      </w:r>
    </w:p>
    <w:p>
      <w:pPr>
        <w:pStyle w:val="BodyText"/>
      </w:pPr>
      <w:r>
        <w:t xml:space="preserve">A result near</w:t>
      </w:r>
      <w:r>
        <w:t xml:space="preserve"> </w:t>
      </w:r>
      <w:r>
        <w:rPr>
          <w:b/>
          <w:bCs/>
        </w:rPr>
        <w:t xml:space="preserve">6%–7%</w:t>
      </w:r>
      <w:r>
        <w:t xml:space="preserve"> </w:t>
      </w:r>
      <w:r>
        <w:t xml:space="preserve">would support durable mid-single-digit Employer Services growth in fiscal 2027. A result near</w:t>
      </w:r>
      <w:r>
        <w:t xml:space="preserve"> </w:t>
      </w:r>
      <w:r>
        <w:rPr>
          <w:b/>
          <w:bCs/>
        </w:rPr>
        <w:t xml:space="preserve">4%</w:t>
      </w:r>
      <w:r>
        <w:t xml:space="preserve">, especially if accompanied by weaker pipelines or longer sales cycles, could raise concerns that the cooling labor environment is beginning to affect HCM spending.</w:t>
      </w:r>
    </w:p>
    <w:p>
      <w:pPr>
        <w:pStyle w:val="BodyText"/>
      </w:pPr>
      <w:r>
        <w:t xml:space="preserve">Retention is the second half of this equation. ADP reported record Q3 retention and client satisfaction, with broad-based strength across small business, enterprise, international and retirement services. That resilience has supported both revenue visibility and pricing. (</w:t>
      </w:r>
      <w:hyperlink r:id="rId14">
        <w:r>
          <w:rPr>
            <w:rStyle w:val="Hyperlink"/>
          </w:rPr>
          <w:t xml:space="preserve">s205.q4cdn.com</w:t>
        </w:r>
      </w:hyperlink>
      <w:r>
        <w:t xml:space="preserve">)</w:t>
      </w:r>
    </w:p>
    <w:bookmarkEnd w:id="15"/>
    <w:bookmarkStart w:id="16" w:name="Xa9dbb67bfe521ad5db9eef2b321098a4dde8ddb"/>
    <w:p>
      <w:pPr>
        <w:pStyle w:val="Heading3"/>
      </w:pPr>
      <w:r>
        <w:t xml:space="preserve">2. Fiscal 2027 guidance will drive the stock reaction</w:t>
      </w:r>
    </w:p>
    <w:p>
      <w:pPr>
        <w:pStyle w:val="FirstParagraph"/>
      </w:pPr>
      <w:r>
        <w:t xml:space="preserve">The market currently expects approximately</w:t>
      </w:r>
      <w:r>
        <w:t xml:space="preserve"> </w:t>
      </w:r>
      <w:r>
        <w:rPr>
          <w:b/>
          <w:bCs/>
        </w:rPr>
        <w:t xml:space="preserve">$12.19 of fiscal 2027 EPS</w:t>
      </w:r>
      <w:r>
        <w:t xml:space="preserve">, representing about</w:t>
      </w:r>
      <w:r>
        <w:t xml:space="preserve"> </w:t>
      </w:r>
      <w:r>
        <w:rPr>
          <w:b/>
          <w:bCs/>
        </w:rPr>
        <w:t xml:space="preserve">10% growth</w:t>
      </w:r>
      <w:r>
        <w:t xml:space="preserve"> </w:t>
      </w:r>
      <w:r>
        <w:t xml:space="preserve">from the fiscal 2026 consensus. (</w:t>
      </w:r>
      <w:hyperlink r:id="rId10">
        <w:r>
          <w:rPr>
            <w:rStyle w:val="Hyperlink"/>
          </w:rPr>
          <w:t xml:space="preserve">stage.zacks.com</w:t>
        </w:r>
      </w:hyperlink>
      <w:r>
        <w:t xml:space="preserve">)</w:t>
      </w:r>
    </w:p>
    <w:p>
      <w:pPr>
        <w:pStyle w:val="BodyText"/>
      </w:pPr>
      <w:r>
        <w:t xml:space="preserve">Management already identified three prospective fiscal 2027 tailwinds on its Q3 call:</w:t>
      </w:r>
    </w:p>
    <w:p>
      <w:pPr>
        <w:pStyle w:val="Compact"/>
        <w:numPr>
          <w:ilvl w:val="0"/>
          <w:numId w:val="1002"/>
        </w:numPr>
      </w:pPr>
      <w:r>
        <w:t xml:space="preserve">Continued or potentially accelerating margin expansion from AI and service productivity</w:t>
      </w:r>
    </w:p>
    <w:p>
      <w:pPr>
        <w:pStyle w:val="Compact"/>
        <w:numPr>
          <w:ilvl w:val="0"/>
          <w:numId w:val="1002"/>
        </w:numPr>
      </w:pPr>
      <w:r>
        <w:t xml:space="preserve">Additional client-funds yield benefits as maturing securities are reinvested at higher rates</w:t>
      </w:r>
    </w:p>
    <w:p>
      <w:pPr>
        <w:pStyle w:val="Compact"/>
        <w:numPr>
          <w:ilvl w:val="0"/>
          <w:numId w:val="1002"/>
        </w:numPr>
      </w:pPr>
      <w:r>
        <w:t xml:space="preserve">Share repurchases at or above the elevated fiscal 2026 pace</w:t>
      </w:r>
    </w:p>
    <w:p>
      <w:pPr>
        <w:pStyle w:val="FirstParagraph"/>
      </w:pPr>
      <w:r>
        <w:t xml:space="preserve">A constructive guide would likely feature:</w:t>
      </w:r>
    </w:p>
    <w:p>
      <w:pPr>
        <w:pStyle w:val="Compact"/>
        <w:numPr>
          <w:ilvl w:val="0"/>
          <w:numId w:val="1003"/>
        </w:numPr>
      </w:pPr>
      <w:r>
        <w:t xml:space="preserve">Roughly</w:t>
      </w:r>
      <w:r>
        <w:t xml:space="preserve"> </w:t>
      </w:r>
      <w:r>
        <w:rPr>
          <w:b/>
          <w:bCs/>
        </w:rPr>
        <w:t xml:space="preserve">5%–6% Employer Services growth</w:t>
      </w:r>
    </w:p>
    <w:p>
      <w:pPr>
        <w:pStyle w:val="Compact"/>
        <w:numPr>
          <w:ilvl w:val="0"/>
          <w:numId w:val="1003"/>
        </w:numPr>
      </w:pPr>
      <w:r>
        <w:t xml:space="preserve">Positive but modest pays-per-control growth</w:t>
      </w:r>
    </w:p>
    <w:p>
      <w:pPr>
        <w:pStyle w:val="Compact"/>
        <w:numPr>
          <w:ilvl w:val="0"/>
          <w:numId w:val="1003"/>
        </w:numPr>
      </w:pPr>
      <w:r>
        <w:t xml:space="preserve">Continued high retention</w:t>
      </w:r>
    </w:p>
    <w:p>
      <w:pPr>
        <w:pStyle w:val="Compact"/>
        <w:numPr>
          <w:ilvl w:val="0"/>
          <w:numId w:val="1003"/>
        </w:numPr>
      </w:pPr>
      <w:r>
        <w:t xml:space="preserve">Further adjusted EBIT margin expansion</w:t>
      </w:r>
    </w:p>
    <w:p>
      <w:pPr>
        <w:pStyle w:val="Compact"/>
        <w:numPr>
          <w:ilvl w:val="0"/>
          <w:numId w:val="1003"/>
        </w:numPr>
      </w:pPr>
      <w:r>
        <w:t xml:space="preserve">High-single-digit to low-double-digit EPS growth</w:t>
      </w:r>
    </w:p>
    <w:p>
      <w:pPr>
        <w:pStyle w:val="Compact"/>
        <w:numPr>
          <w:ilvl w:val="0"/>
          <w:numId w:val="1003"/>
        </w:numPr>
      </w:pPr>
      <w:r>
        <w:t xml:space="preserve">Continued aggressive capital returns</w:t>
      </w:r>
    </w:p>
    <w:p>
      <w:pPr>
        <w:pStyle w:val="FirstParagraph"/>
      </w:pPr>
      <w:r>
        <w:t xml:space="preserve">The biggest question is whether ADP can guide to another year of approximately 10% EPS growth without relying excessively on float income and buybacks.</w:t>
      </w:r>
    </w:p>
    <w:bookmarkEnd w:id="16"/>
    <w:bookmarkStart w:id="18" w:name="X23644897c8c7eee524a569df03f2e3583feab78"/>
    <w:p>
      <w:pPr>
        <w:pStyle w:val="Heading3"/>
      </w:pPr>
      <w:r>
        <w:t xml:space="preserve">3. Client-funds interest remains a powerful earnings lever</w:t>
      </w:r>
    </w:p>
    <w:p>
      <w:pPr>
        <w:pStyle w:val="FirstParagraph"/>
      </w:pPr>
      <w:r>
        <w:t xml:space="preserve">In Q3, interest on client funds rose</w:t>
      </w:r>
      <w:r>
        <w:t xml:space="preserve"> </w:t>
      </w:r>
      <w:r>
        <w:rPr>
          <w:b/>
          <w:bCs/>
        </w:rPr>
        <w:t xml:space="preserve">14% to $404 million</w:t>
      </w:r>
      <w:r>
        <w:t xml:space="preserve">, driven by:</w:t>
      </w:r>
    </w:p>
    <w:p>
      <w:pPr>
        <w:pStyle w:val="Compact"/>
        <w:numPr>
          <w:ilvl w:val="0"/>
          <w:numId w:val="1004"/>
        </w:numPr>
      </w:pPr>
      <w:r>
        <w:t xml:space="preserve">9% growth in average client-funds balances to $48.3 billion</w:t>
      </w:r>
    </w:p>
    <w:p>
      <w:pPr>
        <w:pStyle w:val="Compact"/>
        <w:numPr>
          <w:ilvl w:val="0"/>
          <w:numId w:val="1004"/>
        </w:numPr>
      </w:pPr>
      <w:r>
        <w:t xml:space="preserve">A 10-basis-point increase in average yield to 3.3%</w:t>
      </w:r>
    </w:p>
    <w:p>
      <w:pPr>
        <w:pStyle w:val="FirstParagraph"/>
      </w:pPr>
      <w:r>
        <w:t xml:space="preserve">ADP subsequently raised its full-year client-funds interest forecast to</w:t>
      </w:r>
      <w:r>
        <w:t xml:space="preserve"> </w:t>
      </w:r>
      <m:oMath>
        <m:r>
          <m:t>1.34</m:t>
        </m:r>
        <m:r>
          <m:t>b</m:t>
        </m:r>
        <m:r>
          <m:t>i</m:t>
        </m:r>
        <m:r>
          <m:t>l</m:t>
        </m:r>
        <m:r>
          <m:t>l</m:t>
        </m:r>
        <m:r>
          <m:t>i</m:t>
        </m:r>
        <m:r>
          <m:t>o</m:t>
        </m:r>
        <m:r>
          <m:t>n</m:t>
        </m:r>
        <m:r>
          <m:rPr>
            <m:sty m:val="p"/>
          </m:rPr>
          <m:t>–</m:t>
        </m:r>
      </m:oMath>
      <w:r>
        <w:rPr>
          <w:b/>
          <w:bCs/>
        </w:rPr>
        <w:t xml:space="preserve">1.35 billion</w:t>
      </w:r>
      <w:r>
        <w:t xml:space="preserve"> </w:t>
      </w:r>
      <w:r>
        <w:t xml:space="preserve">and the net contribution from its extended strategy to</w:t>
      </w:r>
      <w:r>
        <w:t xml:space="preserve"> </w:t>
      </w:r>
      <m:oMath>
        <m:r>
          <m:t>1.30</m:t>
        </m:r>
        <m:r>
          <m:t>b</m:t>
        </m:r>
        <m:r>
          <m:t>i</m:t>
        </m:r>
        <m:r>
          <m:t>l</m:t>
        </m:r>
        <m:r>
          <m:t>l</m:t>
        </m:r>
        <m:r>
          <m:t>i</m:t>
        </m:r>
        <m:r>
          <m:t>o</m:t>
        </m:r>
        <m:r>
          <m:t>n</m:t>
        </m:r>
        <m:r>
          <m:rPr>
            <m:sty m:val="p"/>
          </m:rPr>
          <m:t>–</m:t>
        </m:r>
      </m:oMath>
      <w:r>
        <w:rPr>
          <w:b/>
          <w:bCs/>
        </w:rPr>
        <w:t xml:space="preserve">1.31 billion</w:t>
      </w:r>
      <w:r>
        <w:t xml:space="preserve">. (</w:t>
      </w:r>
      <w:hyperlink r:id="rId14">
        <w:r>
          <w:rPr>
            <w:rStyle w:val="Hyperlink"/>
          </w:rPr>
          <w:t xml:space="preserve">s205.q4cdn.com</w:t>
        </w:r>
      </w:hyperlink>
      <w:r>
        <w:t xml:space="preserve">)</w:t>
      </w:r>
    </w:p>
    <w:p>
      <w:pPr>
        <w:pStyle w:val="BodyText"/>
      </w:pPr>
      <w:r>
        <w:t xml:space="preserve">The fiscal 2027 outlook should explain:</w:t>
      </w:r>
    </w:p>
    <w:p>
      <w:pPr>
        <w:pStyle w:val="Compact"/>
        <w:numPr>
          <w:ilvl w:val="0"/>
          <w:numId w:val="1005"/>
        </w:numPr>
      </w:pPr>
      <w:r>
        <w:t xml:space="preserve">Expected average portfolio yield</w:t>
      </w:r>
    </w:p>
    <w:p>
      <w:pPr>
        <w:pStyle w:val="Compact"/>
        <w:numPr>
          <w:ilvl w:val="0"/>
          <w:numId w:val="1005"/>
        </w:numPr>
      </w:pPr>
      <w:r>
        <w:t xml:space="preserve">Reinvestment rates on maturing securities</w:t>
      </w:r>
    </w:p>
    <w:p>
      <w:pPr>
        <w:pStyle w:val="Compact"/>
        <w:numPr>
          <w:ilvl w:val="0"/>
          <w:numId w:val="1005"/>
        </w:numPr>
      </w:pPr>
      <w:r>
        <w:t xml:space="preserve">Assumed short-term rates and financing costs</w:t>
      </w:r>
    </w:p>
    <w:p>
      <w:pPr>
        <w:pStyle w:val="Compact"/>
        <w:numPr>
          <w:ilvl w:val="0"/>
          <w:numId w:val="1005"/>
        </w:numPr>
      </w:pPr>
      <w:r>
        <w:t xml:space="preserve">Expected client-funds balance growth</w:t>
      </w:r>
    </w:p>
    <w:p>
      <w:pPr>
        <w:pStyle w:val="Compact"/>
        <w:numPr>
          <w:ilvl w:val="0"/>
          <w:numId w:val="1005"/>
        </w:numPr>
      </w:pPr>
      <w:r>
        <w:t xml:space="preserve">How much of margin expansion comes from float versus underlying operations</w:t>
      </w:r>
    </w:p>
    <w:p>
      <w:pPr>
        <w:pStyle w:val="FirstParagraph"/>
      </w:pPr>
      <w:r>
        <w:t xml:space="preserve">At least one analyst expects fiscal 2027 float income to be meaningfully above consensus, potentially adding around 30 basis points to margins. That raises the possibility of upside—but also means investors may already expect a favorable float guide. (</w:t>
      </w:r>
      <w:hyperlink r:id="rId17">
        <w:r>
          <w:rPr>
            <w:rStyle w:val="Hyperlink"/>
          </w:rPr>
          <w:t xml:space="preserve">investing.com</w:t>
        </w:r>
      </w:hyperlink>
      <w:r>
        <w:t xml:space="preserve">)</w:t>
      </w:r>
    </w:p>
    <w:bookmarkEnd w:id="18"/>
    <w:bookmarkStart w:id="19" w:name="X015bd05d38f9e8ebdae663fe31c5e2fbe779844"/>
    <w:p>
      <w:pPr>
        <w:pStyle w:val="Heading3"/>
      </w:pPr>
      <w:r>
        <w:t xml:space="preserve">4. Investors need evidence that AI is producing measurable economics</w:t>
      </w:r>
    </w:p>
    <w:p>
      <w:pPr>
        <w:pStyle w:val="FirstParagraph"/>
      </w:pPr>
      <w:r>
        <w:t xml:space="preserve">ADP is positioning AI as both a product differentiator and an operating-efficiency program. Management has highlighted:</w:t>
      </w:r>
    </w:p>
    <w:p>
      <w:pPr>
        <w:pStyle w:val="Compact"/>
        <w:numPr>
          <w:ilvl w:val="0"/>
          <w:numId w:val="1006"/>
        </w:numPr>
      </w:pPr>
      <w:r>
        <w:t xml:space="preserve">An average 30-minute saving per payroll using ADP Assist payroll agents</w:t>
      </w:r>
    </w:p>
    <w:p>
      <w:pPr>
        <w:pStyle w:val="Compact"/>
        <w:numPr>
          <w:ilvl w:val="0"/>
          <w:numId w:val="1006"/>
        </w:numPr>
      </w:pPr>
      <w:r>
        <w:t xml:space="preserve">Approximately 80% less time and fewer clicks for common HR actions</w:t>
      </w:r>
    </w:p>
    <w:p>
      <w:pPr>
        <w:pStyle w:val="Compact"/>
        <w:numPr>
          <w:ilvl w:val="0"/>
          <w:numId w:val="1006"/>
        </w:numPr>
      </w:pPr>
      <w:r>
        <w:t xml:space="preserve">An 8% decline in small-business client contacts during Q3</w:t>
      </w:r>
    </w:p>
    <w:p>
      <w:pPr>
        <w:pStyle w:val="Compact"/>
        <w:numPr>
          <w:ilvl w:val="0"/>
          <w:numId w:val="1006"/>
        </w:numPr>
      </w:pPr>
      <w:r>
        <w:t xml:space="preserve">GenAI-enabled service workflows through its Zone platform</w:t>
      </w:r>
    </w:p>
    <w:p>
      <w:pPr>
        <w:pStyle w:val="Compact"/>
        <w:numPr>
          <w:ilvl w:val="0"/>
          <w:numId w:val="1006"/>
        </w:numPr>
      </w:pPr>
      <w:r>
        <w:t xml:space="preserve">Greater adoption of Lyric HCM among complex enterprise clients</w:t>
      </w:r>
    </w:p>
    <w:p>
      <w:pPr>
        <w:pStyle w:val="FirstParagraph"/>
      </w:pPr>
      <w:r>
        <w:t xml:space="preserve">The fiscal 2027 guide will show whether these benefits are large enough to move consolidated margins while ADP continues investing in product development.</w:t>
      </w:r>
    </w:p>
    <w:p>
      <w:pPr>
        <w:pStyle w:val="BodyText"/>
      </w:pPr>
      <w:r>
        <w:t xml:space="preserve">The best outcome would be margin expansion attributed to repeatable service, implementation and development productivity—not just higher client-funds income. Conversely, a guide calling for heavier AI investment without commensurate savings could weaken the margin narrative.</w:t>
      </w:r>
    </w:p>
    <w:bookmarkEnd w:id="19"/>
    <w:bookmarkStart w:id="20" w:name="X7f98ee720d684e849e5ba80431d60f000e6151a"/>
    <w:p>
      <w:pPr>
        <w:pStyle w:val="Heading3"/>
      </w:pPr>
      <w:r>
        <w:t xml:space="preserve">5. PEO is the main area of operational uncertainty</w:t>
      </w:r>
    </w:p>
    <w:p>
      <w:pPr>
        <w:pStyle w:val="FirstParagraph"/>
      </w:pPr>
      <w:r>
        <w:t xml:space="preserve">Q3 PEO revenue grew 7%, or 5% excluding zero-margin benefits pass-throughs, while average worksite employees increased 2%. However, the segment’s margin contracted</w:t>
      </w:r>
      <w:r>
        <w:t xml:space="preserve"> </w:t>
      </w:r>
      <w:r>
        <w:rPr>
          <w:b/>
          <w:bCs/>
        </w:rPr>
        <w:t xml:space="preserve">120 basis points</w:t>
      </w:r>
      <w:r>
        <w:t xml:space="preserve"> </w:t>
      </w:r>
      <w:r>
        <w:t xml:space="preserve">because of:</w:t>
      </w:r>
    </w:p>
    <w:p>
      <w:pPr>
        <w:pStyle w:val="Compact"/>
        <w:numPr>
          <w:ilvl w:val="0"/>
          <w:numId w:val="1007"/>
        </w:numPr>
      </w:pPr>
      <w:r>
        <w:t xml:space="preserve">Higher selling expense associated with strong bookings</w:t>
      </w:r>
    </w:p>
    <w:p>
      <w:pPr>
        <w:pStyle w:val="Compact"/>
        <w:numPr>
          <w:ilvl w:val="0"/>
          <w:numId w:val="1007"/>
        </w:numPr>
      </w:pPr>
      <w:r>
        <w:t xml:space="preserve">Higher state unemployment insurance costs</w:t>
      </w:r>
    </w:p>
    <w:p>
      <w:pPr>
        <w:pStyle w:val="Compact"/>
        <w:numPr>
          <w:ilvl w:val="0"/>
          <w:numId w:val="1007"/>
        </w:numPr>
      </w:pPr>
      <w:r>
        <w:t xml:space="preserve">Less favorable workers’ compensation reserve development</w:t>
      </w:r>
    </w:p>
    <w:p>
      <w:pPr>
        <w:pStyle w:val="Compact"/>
        <w:numPr>
          <w:ilvl w:val="0"/>
          <w:numId w:val="1007"/>
        </w:numPr>
      </w:pPr>
      <w:r>
        <w:t xml:space="preserve">Growth in zero-margin benefits pass-throughs</w:t>
      </w:r>
    </w:p>
    <w:p>
      <w:pPr>
        <w:pStyle w:val="Compact"/>
        <w:numPr>
          <w:ilvl w:val="0"/>
          <w:numId w:val="1007"/>
        </w:numPr>
      </w:pPr>
      <w:r>
        <w:t xml:space="preserve">Softer pays-per-control trends</w:t>
      </w:r>
    </w:p>
    <w:p>
      <w:pPr>
        <w:pStyle w:val="FirstParagraph"/>
      </w:pPr>
      <w:r>
        <w:t xml:space="preserve">A margin decline is less concerning if it reflects upfront selling expense that produces stronger future growth. It is more concerning if healthcare, insurance and employment costs remain structurally elevated.</w:t>
      </w:r>
    </w:p>
    <w:p>
      <w:pPr>
        <w:pStyle w:val="BodyText"/>
      </w:pPr>
      <w:r>
        <w:t xml:space="preserve">Recent sell-side commentary suggests fiscal 2027 PEO growth may face modest pressure from blue- and gray-collar employment trends and elevated healthcare costs. (</w:t>
      </w:r>
      <w:hyperlink r:id="rId17">
        <w:r>
          <w:rPr>
            <w:rStyle w:val="Hyperlink"/>
          </w:rPr>
          <w:t xml:space="preserve">investing.com</w:t>
        </w:r>
      </w:hyperlink>
      <w:r>
        <w:t xml:space="preserve">)</w:t>
      </w:r>
    </w:p>
    <w:bookmarkEnd w:id="20"/>
    <w:bookmarkEnd w:id="21"/>
    <w:bookmarkStart w:id="23" w:name="Xbad49cdf35c19d1ef85ff50bc972988d004e9c6"/>
    <w:p>
      <w:pPr>
        <w:pStyle w:val="Heading2"/>
      </w:pPr>
      <w:r>
        <w:t xml:space="preserve">Labor-market risk: manageable, but moving in the wrong direction</w:t>
      </w:r>
    </w:p>
    <w:p>
      <w:pPr>
        <w:pStyle w:val="FirstParagraph"/>
      </w:pPr>
      <w:r>
        <w:t xml:space="preserve">ADP’s near-term revenue is more sensitive to retention, pricing and bookings than to small changes in employment. Management has previously indicated that a 1% change in U.S. pays per control affects Employer Services revenue by only about 25 basis points.</w:t>
      </w:r>
    </w:p>
    <w:p>
      <w:pPr>
        <w:pStyle w:val="BodyText"/>
      </w:pPr>
      <w:r>
        <w:t xml:space="preserve">Nevertheless, the labor backdrop has softened:</w:t>
      </w:r>
    </w:p>
    <w:p>
      <w:pPr>
        <w:pStyle w:val="Compact"/>
        <w:numPr>
          <w:ilvl w:val="0"/>
          <w:numId w:val="1008"/>
        </w:numPr>
      </w:pPr>
      <w:r>
        <w:t xml:space="preserve">U.S. nonfarm payrolls increased just</w:t>
      </w:r>
      <w:r>
        <w:t xml:space="preserve"> </w:t>
      </w:r>
      <w:r>
        <w:rPr>
          <w:b/>
          <w:bCs/>
        </w:rPr>
        <w:t xml:space="preserve">57,000 in June</w:t>
      </w:r>
    </w:p>
    <w:p>
      <w:pPr>
        <w:pStyle w:val="Compact"/>
        <w:numPr>
          <w:ilvl w:val="0"/>
          <w:numId w:val="1008"/>
        </w:numPr>
      </w:pPr>
      <w:r>
        <w:t xml:space="preserve">The unemployment rate was</w:t>
      </w:r>
      <w:r>
        <w:t xml:space="preserve"> </w:t>
      </w:r>
      <w:r>
        <w:rPr>
          <w:b/>
          <w:bCs/>
        </w:rPr>
        <w:t xml:space="preserve">4.2%</w:t>
      </w:r>
    </w:p>
    <w:p>
      <w:pPr>
        <w:pStyle w:val="Compact"/>
        <w:numPr>
          <w:ilvl w:val="0"/>
          <w:numId w:val="1008"/>
        </w:numPr>
      </w:pPr>
      <w:r>
        <w:t xml:space="preserve">ADP’s preliminary weekly data showed private employers adding an average of</w:t>
      </w:r>
      <w:r>
        <w:t xml:space="preserve"> </w:t>
      </w:r>
      <w:r>
        <w:rPr>
          <w:b/>
          <w:bCs/>
        </w:rPr>
        <w:t xml:space="preserve">15,000 jobs per week</w:t>
      </w:r>
      <w:r>
        <w:t xml:space="preserve"> </w:t>
      </w:r>
      <w:r>
        <w:t xml:space="preserve">over the four weeks ended July 11, down for a fifth consecutive week (</w:t>
      </w:r>
      <w:hyperlink r:id="rId22">
        <w:r>
          <w:rPr>
            <w:rStyle w:val="Hyperlink"/>
          </w:rPr>
          <w:t xml:space="preserve">bls.gov</w:t>
        </w:r>
      </w:hyperlink>
      <w:r>
        <w:t xml:space="preserve">)</w:t>
      </w:r>
    </w:p>
    <w:p>
      <w:pPr>
        <w:pStyle w:val="FirstParagraph"/>
      </w:pPr>
      <w:r>
        <w:t xml:space="preserve">This is more likely to affect fiscal 2027 guidance than the completed Q4. Investors should listen for differences among:</w:t>
      </w:r>
    </w:p>
    <w:p>
      <w:pPr>
        <w:pStyle w:val="Compact"/>
        <w:numPr>
          <w:ilvl w:val="0"/>
          <w:numId w:val="1009"/>
        </w:numPr>
      </w:pPr>
      <w:r>
        <w:t xml:space="preserve">Small-business employment</w:t>
      </w:r>
    </w:p>
    <w:p>
      <w:pPr>
        <w:pStyle w:val="Compact"/>
        <w:numPr>
          <w:ilvl w:val="0"/>
          <w:numId w:val="1009"/>
        </w:numPr>
      </w:pPr>
      <w:r>
        <w:t xml:space="preserve">Mid-market and enterprise employment</w:t>
      </w:r>
    </w:p>
    <w:p>
      <w:pPr>
        <w:pStyle w:val="Compact"/>
        <w:numPr>
          <w:ilvl w:val="0"/>
          <w:numId w:val="1009"/>
        </w:numPr>
      </w:pPr>
      <w:r>
        <w:t xml:space="preserve">PEO worksite-employee trends</w:t>
      </w:r>
    </w:p>
    <w:p>
      <w:pPr>
        <w:pStyle w:val="Compact"/>
        <w:numPr>
          <w:ilvl w:val="0"/>
          <w:numId w:val="1009"/>
        </w:numPr>
      </w:pPr>
      <w:r>
        <w:t xml:space="preserve">International hiring</w:t>
      </w:r>
    </w:p>
    <w:p>
      <w:pPr>
        <w:pStyle w:val="Compact"/>
        <w:numPr>
          <w:ilvl w:val="0"/>
          <w:numId w:val="1009"/>
        </w:numPr>
      </w:pPr>
      <w:r>
        <w:t xml:space="preserve">New-logo demand versus cross-selling to existing clients</w:t>
      </w:r>
    </w:p>
    <w:p>
      <w:pPr>
        <w:pStyle w:val="FirstParagraph"/>
      </w:pPr>
      <w:r>
        <w:t xml:space="preserve">ADP’s base-fee revenue, compliance products and strong retention provide protection, but a sustained contraction in employment would eventually pressure seat-based revenue and PEO payroll volumes.</w:t>
      </w:r>
    </w:p>
    <w:bookmarkEnd w:id="23"/>
    <w:bookmarkStart w:id="24" w:name="valuation-and-stock-setup"/>
    <w:p>
      <w:pPr>
        <w:pStyle w:val="Heading2"/>
      </w:pPr>
      <w:r>
        <w:t xml:space="preserve">Valuation and stock setup</w:t>
      </w:r>
    </w:p>
    <w:p>
      <w:pPr>
        <w:pStyle w:val="FirstParagraph"/>
      </w:pPr>
      <w:r>
        <w:t xml:space="preserve">ADP finished July 28 near</w:t>
      </w:r>
      <w:r>
        <w:t xml:space="preserve"> </w:t>
      </w:r>
      <w:r>
        <w:rPr>
          <w:b/>
          <w:bCs/>
        </w:rPr>
        <w:t xml:space="preserve">$264</w:t>
      </w:r>
      <w:r>
        <w:t xml:space="preserve">, versus roughly $199 immediately before its Q3 report. The stock is also up about 4%–5% year to date, although that trails the broader market over the same period.</w:t>
      </w:r>
    </w:p>
    <w:p>
      <w:pPr>
        <w:pStyle w:val="BodyText"/>
      </w:pPr>
      <w:r>
        <w:t xml:space="preserve">At approximately:</w:t>
      </w:r>
    </w:p>
    <w:p>
      <w:pPr>
        <w:pStyle w:val="Compact"/>
        <w:numPr>
          <w:ilvl w:val="0"/>
          <w:numId w:val="1010"/>
        </w:numPr>
      </w:pPr>
      <w:r>
        <w:rPr>
          <w:b/>
          <w:bCs/>
        </w:rPr>
        <w:t xml:space="preserve">23.8 times fiscal 2026 consensus EPS</w:t>
      </w:r>
    </w:p>
    <w:p>
      <w:pPr>
        <w:pStyle w:val="Compact"/>
        <w:numPr>
          <w:ilvl w:val="0"/>
          <w:numId w:val="1010"/>
        </w:numPr>
      </w:pPr>
      <w:r>
        <w:rPr>
          <w:b/>
          <w:bCs/>
        </w:rPr>
        <w:t xml:space="preserve">21.7 times fiscal 2027 consensus EPS</w:t>
      </w:r>
    </w:p>
    <w:p>
      <w:pPr>
        <w:pStyle w:val="FirstParagraph"/>
      </w:pPr>
      <w:r>
        <w:t xml:space="preserve">the valuation is not extreme for a high-retention, recurring-revenue compounder, but it does require continued double-digit EPS growth. A clean Q4 accompanied by conservative fiscal 2027 guidance could therefore trigger profit-taking even if ADP beats quarterly estimates.</w:t>
      </w:r>
    </w:p>
    <w:bookmarkEnd w:id="24"/>
    <w:bookmarkStart w:id="25" w:name="potential-reaction-framework"/>
    <w:p>
      <w:pPr>
        <w:pStyle w:val="Heading2"/>
      </w:pPr>
      <w:r>
        <w:t xml:space="preserve">Potential reaction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What it might look like</w:t>
            </w:r>
          </w:p>
        </w:tc>
        <w:tc>
          <w:tcPr/>
          <w:p>
            <w:pPr>
              <w:pStyle w:val="Compact"/>
            </w:pPr>
            <w:r>
              <w:t xml:space="preserve">Likely interpretation</w:t>
            </w:r>
          </w:p>
        </w:tc>
      </w:tr>
      <w:tr>
        <w:tc>
          <w:tcPr/>
          <w:p>
            <w:pPr>
              <w:pStyle w:val="Compact"/>
            </w:pPr>
            <w:r>
              <w:rPr>
                <w:b/>
                <w:bCs/>
              </w:rPr>
              <w:t xml:space="preserve">Bull</w:t>
            </w:r>
          </w:p>
        </w:tc>
        <w:tc>
          <w:tcPr/>
          <w:p>
            <w:pPr>
              <w:pStyle w:val="Compact"/>
            </w:pPr>
            <w:r>
              <w:t xml:space="preserve">Q4 beat; bookings near 7%; strong retention; FY2027 EPS growth at or above 10%; accelerating margin expansion</w:t>
            </w:r>
          </w:p>
        </w:tc>
        <w:tc>
          <w:tcPr/>
          <w:p>
            <w:pPr>
              <w:pStyle w:val="Compact"/>
            </w:pPr>
            <w:r>
              <w:t xml:space="preserve">AI productivity and float tailwinds sustain premium growth</w:t>
            </w:r>
          </w:p>
        </w:tc>
      </w:tr>
      <w:tr>
        <w:tc>
          <w:tcPr/>
          <w:p>
            <w:pPr>
              <w:pStyle w:val="Compact"/>
            </w:pPr>
            <w:r>
              <w:rPr>
                <w:b/>
                <w:bCs/>
              </w:rPr>
              <w:t xml:space="preserve">Base</w:t>
            </w:r>
          </w:p>
        </w:tc>
        <w:tc>
          <w:tcPr/>
          <w:p>
            <w:pPr>
              <w:pStyle w:val="Compact"/>
            </w:pPr>
            <w:r>
              <w:t xml:space="preserve">Results close to consensus; bookings around 5%–6%; FY2027 revenue mid-single digits and EPS high single digits to approximately 10%</w:t>
            </w:r>
          </w:p>
        </w:tc>
        <w:tc>
          <w:tcPr/>
          <w:p>
            <w:pPr>
              <w:pStyle w:val="Compact"/>
            </w:pPr>
            <w:r>
              <w:t xml:space="preserve">Solid execution, largely reflected in valuation</w:t>
            </w:r>
          </w:p>
        </w:tc>
      </w:tr>
      <w:tr>
        <w:tc>
          <w:tcPr/>
          <w:p>
            <w:pPr>
              <w:pStyle w:val="Compact"/>
            </w:pPr>
            <w:r>
              <w:rPr>
                <w:b/>
                <w:bCs/>
              </w:rPr>
              <w:t xml:space="preserve">Bear</w:t>
            </w:r>
          </w:p>
        </w:tc>
        <w:tc>
          <w:tcPr/>
          <w:p>
            <w:pPr>
              <w:pStyle w:val="Compact"/>
            </w:pPr>
            <w:r>
              <w:t xml:space="preserve">Bookings near 4%; weaker PEO employment; cautious labor commentary; FY2027 EPS growth below high single digits</w:t>
            </w:r>
          </w:p>
        </w:tc>
        <w:tc>
          <w:tcPr/>
          <w:p>
            <w:pPr>
              <w:pStyle w:val="Compact"/>
            </w:pPr>
            <w:r>
              <w:t xml:space="preserve">Growth is normalizing faster than productivity and float can offset</w:t>
            </w:r>
          </w:p>
        </w:tc>
      </w:tr>
    </w:tbl>
    <w:bookmarkEnd w:id="25"/>
    <w:bookmarkStart w:id="26" w:name="questions-investors-should-want-answered"/>
    <w:p>
      <w:pPr>
        <w:pStyle w:val="Heading2"/>
      </w:pPr>
      <w:r>
        <w:t xml:space="preserve">Questions investors should want answered</w:t>
      </w:r>
    </w:p>
    <w:p>
      <w:pPr>
        <w:pStyle w:val="Compact"/>
        <w:numPr>
          <w:ilvl w:val="0"/>
          <w:numId w:val="1011"/>
        </w:numPr>
      </w:pPr>
      <w:r>
        <w:t xml:space="preserve">Where did fiscal 2026 Employer Services bookings land within the 4%–7% range?</w:t>
      </w:r>
    </w:p>
    <w:p>
      <w:pPr>
        <w:pStyle w:val="Compact"/>
        <w:numPr>
          <w:ilvl w:val="0"/>
          <w:numId w:val="1011"/>
        </w:numPr>
      </w:pPr>
      <w:r>
        <w:t xml:space="preserve">How did bookings perform by small business, mid-market, enterprise and international?</w:t>
      </w:r>
    </w:p>
    <w:p>
      <w:pPr>
        <w:pStyle w:val="Compact"/>
        <w:numPr>
          <w:ilvl w:val="0"/>
          <w:numId w:val="1011"/>
        </w:numPr>
      </w:pPr>
      <w:r>
        <w:t xml:space="preserve">What are the assumptions for fiscal 2027 pays per control and PEO worksite employees?</w:t>
      </w:r>
    </w:p>
    <w:p>
      <w:pPr>
        <w:pStyle w:val="Compact"/>
        <w:numPr>
          <w:ilvl w:val="0"/>
          <w:numId w:val="1011"/>
        </w:numPr>
      </w:pPr>
      <w:r>
        <w:t xml:space="preserve">How much of anticipated margin expansion comes from operating productivity versus client-funds interest?</w:t>
      </w:r>
    </w:p>
    <w:p>
      <w:pPr>
        <w:pStyle w:val="Compact"/>
        <w:numPr>
          <w:ilvl w:val="0"/>
          <w:numId w:val="1011"/>
        </w:numPr>
      </w:pPr>
      <w:r>
        <w:t xml:space="preserve">Are AI tools lowering absolute service costs, or only slowing expense growth?</w:t>
      </w:r>
    </w:p>
    <w:p>
      <w:pPr>
        <w:pStyle w:val="Compact"/>
        <w:numPr>
          <w:ilvl w:val="0"/>
          <w:numId w:val="1011"/>
        </w:numPr>
      </w:pPr>
      <w:r>
        <w:t xml:space="preserve">Is ADP seeing longer sales cycles, greater discounting or stronger competition from newer HCM vendors?</w:t>
      </w:r>
    </w:p>
    <w:p>
      <w:pPr>
        <w:pStyle w:val="Compact"/>
        <w:numPr>
          <w:ilvl w:val="0"/>
          <w:numId w:val="1011"/>
        </w:numPr>
      </w:pPr>
      <w:r>
        <w:t xml:space="preserve">How quickly are Lyric and WorkForce Software translating bookings into recognized revenue?</w:t>
      </w:r>
    </w:p>
    <w:p>
      <w:pPr>
        <w:pStyle w:val="Compact"/>
        <w:numPr>
          <w:ilvl w:val="0"/>
          <w:numId w:val="1011"/>
        </w:numPr>
      </w:pPr>
      <w:r>
        <w:t xml:space="preserve">Will share repurchases remain elevated at the current stock valuation?</w:t>
      </w:r>
    </w:p>
    <w:p>
      <w:pPr>
        <w:pStyle w:val="Compact"/>
        <w:numPr>
          <w:ilvl w:val="0"/>
          <w:numId w:val="1011"/>
        </w:numPr>
      </w:pPr>
      <w:r>
        <w:t xml:space="preserve">Are PEO healthcare, state unemployment and workers’ compensation costs expected to normalize?</w:t>
      </w:r>
    </w:p>
    <w:p>
      <w:pPr>
        <w:pStyle w:val="Compact"/>
        <w:numPr>
          <w:ilvl w:val="0"/>
          <w:numId w:val="1011"/>
        </w:numPr>
      </w:pPr>
      <w:r>
        <w:t xml:space="preserve">Does the recent deceleration in private hiring change management’s demand assumptions?</w:t>
      </w:r>
    </w:p>
    <w:bookmarkEnd w:id="26"/>
    <w:bookmarkStart w:id="27" w:name="bottom-line"/>
    <w:p>
      <w:pPr>
        <w:pStyle w:val="Heading2"/>
      </w:pPr>
      <w:r>
        <w:t xml:space="preserve">Bottom line</w:t>
      </w:r>
    </w:p>
    <w:p>
      <w:pPr>
        <w:pStyle w:val="FirstParagraph"/>
      </w:pPr>
      <w:r>
        <w:t xml:space="preserve">ADP should be positioned to finish fiscal 2026 within—or modestly above—its raised targets. The company benefits from exceptional retention, recurring revenue, pricing power, favorable client-funds economics and early evidence of AI-driven productivity.</w:t>
      </w:r>
    </w:p>
    <w:p>
      <w:pPr>
        <w:pStyle w:val="BodyText"/>
      </w:pPr>
      <w:r>
        <w:t xml:space="preserve">But the quarterly hurdle is not especially high, and the stock’s sharp post-Q3 appreciation raises the bar.</w:t>
      </w:r>
      <w:r>
        <w:t xml:space="preserve"> </w:t>
      </w:r>
      <w:r>
        <w:rPr>
          <w:b/>
          <w:bCs/>
        </w:rPr>
        <w:t xml:space="preserve">The decisive variables are the bookings exit rate and fiscal 2027 guidance.</w:t>
      </w:r>
      <w:r>
        <w:t xml:space="preserve"> </w:t>
      </w:r>
      <w:r>
        <w:t xml:space="preserve">A bookings result in the upper half of the range, continued operating margin acceleration and an approximately 10% fiscal 2027 EPS-growth outlook would support the current valuation. Anything materially softer could outweigh an otherwise respectable Q4 beat.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mediacenter.adp.com/2026-06-29-ADP-to-Announce-Fourth-Quarter-Fiscal-2026-Financial-Results-on-July-29%2C-2026?utm_source=openai" TargetMode="External" /><Relationship Type="http://schemas.openxmlformats.org/officeDocument/2006/relationships/hyperlink" Id="rId14" Target="https://s205.q4cdn.com/887941133/files/doc_financials/2026/q3/ADP-3Q26-Earnings-Release.pdf?utm_source=openai" TargetMode="External" /><Relationship Type="http://schemas.openxmlformats.org/officeDocument/2006/relationships/hyperlink" Id="rId10" Target="https://stage.zacks.com/stock/quote/ADP/detailed-earning-estimates?icid=SITE_SECTION-SUB_SECTION-quote_nav_tracking-zcom-left_subnav_quote_navbar-detailed_earning_estimates&amp;utm_source=openai" TargetMode="External" /><Relationship Type="http://schemas.openxmlformats.org/officeDocument/2006/relationships/hyperlink" Id="rId22" Target="https://www.bls.gov/news.release/empsit.htm?utm_source=openai" TargetMode="External" /><Relationship Type="http://schemas.openxmlformats.org/officeDocument/2006/relationships/hyperlink" Id="rId17" Target="https://www.investing.com/news/analyst-ratings/stifel-raises-adp-stock-price-target-to-260-on-float-income-outlook-93CH-4781485" TargetMode="External" /><Relationship Type="http://schemas.openxmlformats.org/officeDocument/2006/relationships/hyperlink" Id="rId12" Target="https://www.marketbeat.com/earnings/reports/2026-7-29-automatic-data-processing-inc-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mediacenter.adp.com/2026-06-29-ADP-to-Announce-Fourth-Quarter-Fiscal-2026-Financial-Results-on-July-29%2C-2026?utm_source=openai" TargetMode="External" /><Relationship Type="http://schemas.openxmlformats.org/officeDocument/2006/relationships/hyperlink" Id="rId14" Target="https://s205.q4cdn.com/887941133/files/doc_financials/2026/q3/ADP-3Q26-Earnings-Release.pdf?utm_source=openai" TargetMode="External" /><Relationship Type="http://schemas.openxmlformats.org/officeDocument/2006/relationships/hyperlink" Id="rId10" Target="https://stage.zacks.com/stock/quote/ADP/detailed-earning-estimates?icid=SITE_SECTION-SUB_SECTION-quote_nav_tracking-zcom-left_subnav_quote_navbar-detailed_earning_estimates&amp;utm_source=openai" TargetMode="External" /><Relationship Type="http://schemas.openxmlformats.org/officeDocument/2006/relationships/hyperlink" Id="rId22" Target="https://www.bls.gov/news.release/empsit.htm?utm_source=openai" TargetMode="External" /><Relationship Type="http://schemas.openxmlformats.org/officeDocument/2006/relationships/hyperlink" Id="rId17" Target="https://www.investing.com/news/analyst-ratings/stifel-raises-adp-stock-price-target-to-260-on-float-income-outlook-93CH-4781485" TargetMode="External" /><Relationship Type="http://schemas.openxmlformats.org/officeDocument/2006/relationships/hyperlink" Id="rId12" Target="https://www.marketbeat.com/earnings/reports/2026-7-29-automatic-data-processing-inc-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2026-07-29T00:31:25Z</dcterms:created>
  <dcterms:modified xsi:type="dcterms:W3CDTF">2026-07-29T00:31:25Z</dcterms:modified>
</cp:coreProperties>
</file>

<file path=docProps/custom.xml><?xml version="1.0" encoding="utf-8"?>
<Properties xmlns="http://schemas.openxmlformats.org/officeDocument/2006/custom-properties" xmlns:vt="http://schemas.openxmlformats.org/officeDocument/2006/docPropsVTypes"/>
</file>