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90d924deb4008f7c28c51657fb6e3b0aaeccea9"/>
    <w:p>
      <w:pPr>
        <w:pStyle w:val="Heading1"/>
      </w:pPr>
      <w:r>
        <w:t xml:space="preserve">ADP (NASDAQ: ADP) — FY2026 Q4 Earnings Preview</w:t>
      </w:r>
    </w:p>
    <w:p>
      <w:pPr>
        <w:pStyle w:val="BlockText"/>
      </w:pPr>
      <w:r>
        <w:rPr>
          <w:b/>
          <w:bCs/>
        </w:rPr>
        <w:t xml:space="preserve">Date clarification:</w:t>
      </w:r>
      <w:r>
        <w:t xml:space="preserve"> </w:t>
      </w:r>
      <w:r>
        <w:t xml:space="preserve">ADP is scheduled to report fiscal Q4 2026 results</w:t>
      </w:r>
      <w:r>
        <w:t xml:space="preserve"> </w:t>
      </w:r>
      <w:r>
        <w:rPr>
          <w:b/>
          <w:bCs/>
        </w:rPr>
        <w:t xml:space="preserve">before the Nasdaq open on Wednesday, July 29, 2026</w:t>
      </w:r>
      <w:r>
        <w:t xml:space="preserve">, followed by an</w:t>
      </w:r>
      <w:r>
        <w:t xml:space="preserve"> </w:t>
      </w:r>
      <w:r>
        <w:rPr>
          <w:b/>
          <w:bCs/>
        </w:rPr>
        <w:t xml:space="preserve">8:30 a.m. ET</w:t>
      </w:r>
      <w:r>
        <w:t xml:space="preserve"> </w:t>
      </w:r>
      <w:r>
        <w:t xml:space="preserve">earnings call. Given today’s supplied date is July 29, this is a</w:t>
      </w:r>
      <w:r>
        <w:t xml:space="preserve"> </w:t>
      </w:r>
      <w:r>
        <w:rPr>
          <w:b/>
          <w:bCs/>
        </w:rPr>
        <w:t xml:space="preserve">today—not tomorrow—event</w:t>
      </w:r>
      <w:r>
        <w:t xml:space="preserve">.</w:t>
      </w:r>
    </w:p>
    <w:bookmarkStart w:id="9" w:name="X0e0150bb8fa7602bac5ac16aad703d0a693ceaf"/>
    <w:p>
      <w:pPr>
        <w:pStyle w:val="Heading2"/>
      </w:pPr>
      <w:r>
        <w:t xml:space="preserve">Investment view: a strong setup, but expectations and the share price are elevated</w:t>
      </w:r>
    </w:p>
    <w:p>
      <w:pPr>
        <w:pStyle w:val="FirstParagraph"/>
      </w:pPr>
      <w:r>
        <w:t xml:space="preserve">ADP enters its fiscal fourth-quarter report with clear operating momentum. In Q3, the company delivered</w:t>
      </w:r>
      <w:r>
        <w:t xml:space="preserve"> </w:t>
      </w:r>
      <w:r>
        <w:rPr>
          <w:b/>
          <w:bCs/>
        </w:rPr>
        <w:t xml:space="preserve">7% revenue growth</w:t>
      </w:r>
      <w:r>
        <w:t xml:space="preserve">,</w:t>
      </w:r>
      <w:r>
        <w:t xml:space="preserve"> </w:t>
      </w:r>
      <w:r>
        <w:rPr>
          <w:b/>
          <w:bCs/>
        </w:rPr>
        <w:t xml:space="preserve">80 bps of adjusted EBIT-margin expansion</w:t>
      </w:r>
      <w:r>
        <w:t xml:space="preserve">, and</w:t>
      </w:r>
      <w:r>
        <w:t xml:space="preserve"> </w:t>
      </w:r>
      <w:r>
        <w:rPr>
          <w:b/>
          <w:bCs/>
        </w:rPr>
        <w:t xml:space="preserve">10% adjusted EPS growth</w:t>
      </w:r>
      <w:r>
        <w:t xml:space="preserve">, while raising its fiscal-year revenue, margin, and EPS outlook. The investment debate is no longer whether ADP can produce steady growth; it is whether it can</w:t>
      </w:r>
      <w:r>
        <w:t xml:space="preserve"> </w:t>
      </w:r>
      <w:r>
        <w:rPr>
          <w:b/>
          <w:bCs/>
        </w:rPr>
        <w:t xml:space="preserve">finish at the high end of its upgraded FY26 framework and establish a credible acceleration path for FY27</w:t>
      </w:r>
      <w:r>
        <w:t xml:space="preserve">.</w:t>
      </w:r>
    </w:p>
    <w:p>
      <w:pPr>
        <w:pStyle w:val="BodyText"/>
      </w:pPr>
      <w:r>
        <w:t xml:space="preserve">The stock has already reflected substantial optimism: ADP closed at</w:t>
      </w:r>
      <w:r>
        <w:t xml:space="preserve"> </w:t>
      </w:r>
      <w:r>
        <w:rPr>
          <w:b/>
          <w:bCs/>
        </w:rPr>
        <w:t xml:space="preserve">$264.21 on July 28</w:t>
      </w:r>
      <w:r>
        <w:t xml:space="preserve">, up roughly</w:t>
      </w:r>
      <w:r>
        <w:t xml:space="preserve"> </w:t>
      </w:r>
      <w:r>
        <w:rPr>
          <w:b/>
          <w:bCs/>
        </w:rPr>
        <w:t xml:space="preserve">32.7%</w:t>
      </w:r>
      <w:r>
        <w:t xml:space="preserve"> </w:t>
      </w:r>
      <w:r>
        <w:t xml:space="preserve">from its $199.17 close immediately before the Q3 release. Consequently, a modest beat alone may not be enough. Investors will likely require evidence that the company’s AI-enabled productivity, pricing, client retention, client-funds yield tailwind, and enterprise/international opportunities can sustain earnings growth and margin expansion beyond FY26.</w:t>
      </w:r>
    </w:p>
    <w:bookmarkEnd w:id="9"/>
    <w:bookmarkStart w:id="10" w:name="Xbfcc99156bb9f631f29800ac39228c9e4be0679"/>
    <w:p>
      <w:pPr>
        <w:pStyle w:val="Heading2"/>
      </w:pPr>
      <w:r>
        <w:t xml:space="preserve">The key issue: can ADP deliver the high end of FY26 guidance?</w:t>
      </w:r>
    </w:p>
    <w:p>
      <w:pPr>
        <w:pStyle w:val="FirstParagraph"/>
      </w:pPr>
      <w:r>
        <w:t xml:space="preserve">After Q3, management’s FY26 outlook called for: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FY26 outlook, issued April 29</w:t>
            </w:r>
          </w:p>
        </w:tc>
      </w:tr>
      <w:tr>
        <w:tc>
          <w:tcPr/>
          <w:p>
            <w:pPr>
              <w:pStyle w:val="Compact"/>
            </w:pPr>
            <w:r>
              <w:t xml:space="preserve">Total revenue growth</w:t>
            </w:r>
          </w:p>
        </w:tc>
        <w:tc>
          <w:tcPr/>
          <w:p>
            <w:pPr>
              <w:pStyle w:val="Compact"/>
              <w:jc w:val="right"/>
            </w:pPr>
            <w:r>
              <w:rPr>
                <w:b/>
                <w:bCs/>
              </w:rPr>
              <w:t xml:space="preserve">6%–7%</w:t>
            </w:r>
          </w:p>
        </w:tc>
      </w:tr>
      <w:tr>
        <w:tc>
          <w:tcPr/>
          <w:p>
            <w:pPr>
              <w:pStyle w:val="Compact"/>
            </w:pPr>
            <w:r>
              <w:t xml:space="preserve">Adjusted EBIT-margin expansion</w:t>
            </w:r>
          </w:p>
        </w:tc>
        <w:tc>
          <w:tcPr/>
          <w:p>
            <w:pPr>
              <w:pStyle w:val="Compact"/>
              <w:jc w:val="right"/>
            </w:pPr>
            <w:r>
              <w:rPr>
                <w:b/>
                <w:bCs/>
              </w:rPr>
              <w:t xml:space="preserve">70–80 bps</w:t>
            </w:r>
          </w:p>
        </w:tc>
      </w:tr>
      <w:tr>
        <w:tc>
          <w:tcPr/>
          <w:p>
            <w:pPr>
              <w:pStyle w:val="Compact"/>
            </w:pPr>
            <w:r>
              <w:t xml:space="preserve">Adjusted diluted EPS growth</w:t>
            </w:r>
          </w:p>
        </w:tc>
        <w:tc>
          <w:tcPr/>
          <w:p>
            <w:pPr>
              <w:pStyle w:val="Compact"/>
              <w:jc w:val="right"/>
            </w:pPr>
            <w:r>
              <w:rPr>
                <w:b/>
                <w:bCs/>
              </w:rPr>
              <w:t xml:space="preserve">10%–11%</w:t>
            </w:r>
          </w:p>
        </w:tc>
      </w:tr>
      <w:tr>
        <w:tc>
          <w:tcPr/>
          <w:p>
            <w:pPr>
              <w:pStyle w:val="Compact"/>
            </w:pPr>
            <w:r>
              <w:t xml:space="preserve">Employer Services bookings growth</w:t>
            </w:r>
          </w:p>
        </w:tc>
        <w:tc>
          <w:tcPr/>
          <w:p>
            <w:pPr>
              <w:pStyle w:val="Compact"/>
              <w:jc w:val="right"/>
            </w:pPr>
            <w:r>
              <w:rPr>
                <w:b/>
                <w:bCs/>
              </w:rPr>
              <w:t xml:space="preserve">4%–7%</w:t>
            </w:r>
          </w:p>
        </w:tc>
      </w:tr>
      <w:tr>
        <w:tc>
          <w:tcPr/>
          <w:p>
            <w:pPr>
              <w:pStyle w:val="Compact"/>
            </w:pPr>
            <w:r>
              <w:t xml:space="preserve">Employer Services retention</w:t>
            </w:r>
          </w:p>
        </w:tc>
        <w:tc>
          <w:tcPr/>
          <w:p>
            <w:pPr>
              <w:pStyle w:val="Compact"/>
              <w:jc w:val="right"/>
            </w:pPr>
            <w:r>
              <w:rPr>
                <w:b/>
                <w:bCs/>
              </w:rPr>
              <w:t xml:space="preserve">Flat to down 20 bps</w:t>
            </w:r>
          </w:p>
        </w:tc>
      </w:tr>
      <w:tr>
        <w:tc>
          <w:tcPr/>
          <w:p>
            <w:pPr>
              <w:pStyle w:val="Compact"/>
            </w:pPr>
            <w:r>
              <w:t xml:space="preserve">U.S. pays per control</w:t>
            </w:r>
          </w:p>
        </w:tc>
        <w:tc>
          <w:tcPr/>
          <w:p>
            <w:pPr>
              <w:pStyle w:val="Compact"/>
              <w:jc w:val="right"/>
            </w:pPr>
            <w:r>
              <w:rPr>
                <w:b/>
                <w:bCs/>
              </w:rPr>
              <w:t xml:space="preserve">~1% growth</w:t>
            </w:r>
          </w:p>
        </w:tc>
      </w:tr>
      <w:tr>
        <w:tc>
          <w:tcPr/>
          <w:p>
            <w:pPr>
              <w:pStyle w:val="Compact"/>
            </w:pPr>
            <w:r>
              <w:t xml:space="preserve">PEO average worksite employees</w:t>
            </w:r>
          </w:p>
        </w:tc>
        <w:tc>
          <w:tcPr/>
          <w:p>
            <w:pPr>
              <w:pStyle w:val="Compact"/>
              <w:jc w:val="right"/>
            </w:pPr>
            <w:r>
              <w:rPr>
                <w:b/>
                <w:bCs/>
              </w:rPr>
              <w:t xml:space="preserve">~2% growth</w:t>
            </w:r>
          </w:p>
        </w:tc>
      </w:tr>
      <w:tr>
        <w:tc>
          <w:tcPr/>
          <w:p>
            <w:pPr>
              <w:pStyle w:val="Compact"/>
            </w:pPr>
            <w:r>
              <w:t xml:space="preserve">Client-funds interest income</w:t>
            </w:r>
          </w:p>
        </w:tc>
        <w:tc>
          <w:tcPr/>
          <w:p>
            <w:pPr>
              <w:pStyle w:val="Compact"/>
              <w:jc w:val="right"/>
            </w:pPr>
            <m:oMath>
              <m:r>
                <m:t>1.340</m:t>
              </m:r>
              <m:r>
                <m:t>B</m:t>
              </m:r>
              <m:r>
                <m:rPr>
                  <m:sty m:val="p"/>
                </m:rPr>
                <m:t>–</m:t>
              </m:r>
            </m:oMath>
            <w:r>
              <w:rPr>
                <w:b/>
                <w:bCs/>
              </w:rPr>
              <w:t xml:space="preserve">1.350B</w:t>
            </w:r>
          </w:p>
        </w:tc>
      </w:tr>
    </w:tbl>
    <w:p>
      <w:pPr>
        <w:pStyle w:val="BodyText"/>
      </w:pPr>
      <w:r>
        <w:t xml:space="preserve">Using reported nine-month results and the company’s full-year guide, the implied Q4 hurdle is meaningful:</w:t>
      </w:r>
    </w:p>
    <w:p>
      <w:pPr>
        <w:pStyle w:val="Compact"/>
        <w:numPr>
          <w:ilvl w:val="0"/>
          <w:numId w:val="1001"/>
        </w:numPr>
      </w:pPr>
      <w:r>
        <w:rPr>
          <w:b/>
          <w:bCs/>
        </w:rPr>
        <w:t xml:space="preserve">Revenue:</w:t>
      </w:r>
      <w:r>
        <w:t xml:space="preserve"> </w:t>
      </w:r>
      <w:r>
        <w:t xml:space="preserve">approximately</w:t>
      </w:r>
      <w:r>
        <w:t xml:space="preserve"> </w:t>
      </w:r>
      <m:oMath>
        <m:r>
          <m:t>5.32</m:t>
        </m:r>
        <m:r>
          <m:t>B</m:t>
        </m:r>
        <m:r>
          <m:rPr>
            <m:sty m:val="p"/>
          </m:rPr>
          <m:t>–</m:t>
        </m:r>
      </m:oMath>
      <w:r>
        <w:rPr>
          <w:b/>
          <w:bCs/>
        </w:rPr>
        <w:t xml:space="preserve">5.53B</w:t>
      </w:r>
      <w:r>
        <w:t xml:space="preserve">, versus $5.13B in Q4 FY25—implying roughly</w:t>
      </w:r>
      <w:r>
        <w:t xml:space="preserve"> </w:t>
      </w:r>
      <w:r>
        <w:rPr>
          <w:b/>
          <w:bCs/>
        </w:rPr>
        <w:t xml:space="preserve">4%–8% growth</w:t>
      </w:r>
      <w:r>
        <w:t xml:space="preserve">.</w:t>
      </w:r>
    </w:p>
    <w:p>
      <w:pPr>
        <w:pStyle w:val="Compact"/>
        <w:numPr>
          <w:ilvl w:val="0"/>
          <w:numId w:val="1001"/>
        </w:numPr>
      </w:pPr>
      <w:r>
        <w:rPr>
          <w:b/>
          <w:bCs/>
        </w:rPr>
        <w:t xml:space="preserve">Adjusted EPS:</w:t>
      </w:r>
      <w:r>
        <w:t xml:space="preserve"> </w:t>
      </w:r>
      <w:r>
        <w:t xml:space="preserve">approximately</w:t>
      </w:r>
      <w:r>
        <w:t xml:space="preserve"> </w:t>
      </w:r>
      <m:oMath>
        <m:r>
          <m:t>2.53</m:t>
        </m:r>
        <m:r>
          <m:rPr>
            <m:sty m:val="p"/>
          </m:rPr>
          <m:t>–</m:t>
        </m:r>
      </m:oMath>
      <w:r>
        <w:rPr>
          <w:b/>
          <w:bCs/>
        </w:rPr>
        <w:t xml:space="preserve">2.63</w:t>
      </w:r>
      <w:r>
        <w:t xml:space="preserve">, versus $2.26 in Q4 FY25—implying approximately</w:t>
      </w:r>
      <w:r>
        <w:t xml:space="preserve"> </w:t>
      </w:r>
      <w:r>
        <w:rPr>
          <w:b/>
          <w:bCs/>
        </w:rPr>
        <w:t xml:space="preserve">12%–16% growth</w:t>
      </w:r>
      <w:r>
        <w:t xml:space="preserve">.</w:t>
      </w:r>
    </w:p>
    <w:p>
      <w:pPr>
        <w:pStyle w:val="FirstParagraph"/>
      </w:pPr>
      <w:r>
        <w:t xml:space="preserve">The setup therefore favors a report in which investors focus less on the headline quarterly beat and more on whether the company lands at the</w:t>
      </w:r>
      <w:r>
        <w:t xml:space="preserve"> </w:t>
      </w:r>
      <w:r>
        <w:rPr>
          <w:b/>
          <w:bCs/>
        </w:rPr>
        <w:t xml:space="preserve">upper end</w:t>
      </w:r>
      <w:r>
        <w:t xml:space="preserve"> </w:t>
      </w:r>
      <w:r>
        <w:t xml:space="preserve">of the full-year ranges.</w:t>
      </w:r>
    </w:p>
    <w:bookmarkEnd w:id="10"/>
    <w:bookmarkStart w:id="17" w:name="X9b31ecf5bffc931aa262616320ef8e404e1459c"/>
    <w:p>
      <w:pPr>
        <w:pStyle w:val="Heading2"/>
      </w:pPr>
      <w:r>
        <w:t xml:space="preserve">What matters most in the release and call</w:t>
      </w:r>
    </w:p>
    <w:bookmarkStart w:id="11" w:name="Xf711daefee15f4fb3267a090502a2a0973c8dc4"/>
    <w:p>
      <w:pPr>
        <w:pStyle w:val="Heading3"/>
      </w:pPr>
      <w:r>
        <w:t xml:space="preserve">1. Employer Services bookings: the most consequential operational KPI</w:t>
      </w:r>
    </w:p>
    <w:p>
      <w:pPr>
        <w:pStyle w:val="FirstParagraph"/>
      </w:pPr>
      <w:r>
        <w:t xml:space="preserve">Management retained its</w:t>
      </w:r>
      <w:r>
        <w:t xml:space="preserve"> </w:t>
      </w:r>
      <w:r>
        <w:rPr>
          <w:b/>
          <w:bCs/>
        </w:rPr>
        <w:t xml:space="preserve">4%–7% FY26 Employer Services bookings-growth</w:t>
      </w:r>
      <w:r>
        <w:t xml:space="preserve"> </w:t>
      </w:r>
      <w:r>
        <w:t xml:space="preserve">guide after Q3 despite strong year-to-date commentary, emphasizing that Q4 is seasonally critical and that a broad range of outcomes remained possible.</w:t>
      </w:r>
    </w:p>
    <w:p>
      <w:pPr>
        <w:pStyle w:val="BodyText"/>
      </w:pPr>
      <w:r>
        <w:t xml:space="preserve">This is likely the report’s central swing factor because bookings underpin future revenue growth. Management previously characterized the sensitivity as roughly</w:t>
      </w:r>
      <w:r>
        <w:t xml:space="preserve"> </w:t>
      </w:r>
      <m:oMath>
        <m:r>
          <m:t>20</m:t>
        </m:r>
        <m:r>
          <m:t>M</m:t>
        </m:r>
        <m:r>
          <m:rPr>
            <m:sty m:val="p"/>
          </m:rPr>
          <m:t>–</m:t>
        </m:r>
      </m:oMath>
      <w:r>
        <w:rPr>
          <w:b/>
          <w:bCs/>
        </w:rPr>
        <w:t xml:space="preserve">21M of revenue per percentage point</w:t>
      </w:r>
      <w:r>
        <w:t xml:space="preserve"> </w:t>
      </w:r>
      <w:r>
        <w:t xml:space="preserve">of bookings growth. Investors should look for:</w:t>
      </w:r>
    </w:p>
    <w:p>
      <w:pPr>
        <w:pStyle w:val="Compact"/>
        <w:numPr>
          <w:ilvl w:val="0"/>
          <w:numId w:val="1002"/>
        </w:numPr>
      </w:pPr>
      <w:r>
        <w:t xml:space="preserve">A result near the top end—or above—the 4%–7% range;</w:t>
      </w:r>
    </w:p>
    <w:p>
      <w:pPr>
        <w:pStyle w:val="Compact"/>
        <w:numPr>
          <w:ilvl w:val="0"/>
          <w:numId w:val="1002"/>
        </w:numPr>
      </w:pPr>
      <w:r>
        <w:t xml:space="preserve">Commentary on pipeline conversion and sales productivity;</w:t>
      </w:r>
    </w:p>
    <w:p>
      <w:pPr>
        <w:pStyle w:val="Compact"/>
        <w:numPr>
          <w:ilvl w:val="0"/>
          <w:numId w:val="1002"/>
        </w:numPr>
      </w:pPr>
      <w:r>
        <w:t xml:space="preserve">Continued strength in</w:t>
      </w:r>
      <w:r>
        <w:t xml:space="preserve"> </w:t>
      </w:r>
      <w:r>
        <w:rPr>
          <w:b/>
          <w:bCs/>
        </w:rPr>
        <w:t xml:space="preserve">international</w:t>
      </w:r>
      <w:r>
        <w:t xml:space="preserve">,</w:t>
      </w:r>
      <w:r>
        <w:t xml:space="preserve"> </w:t>
      </w:r>
      <w:r>
        <w:rPr>
          <w:b/>
          <w:bCs/>
        </w:rPr>
        <w:t xml:space="preserve">compliance</w:t>
      </w:r>
      <w:r>
        <w:t xml:space="preserve">,</w:t>
      </w:r>
      <w:r>
        <w:t xml:space="preserve"> </w:t>
      </w:r>
      <w:r>
        <w:rPr>
          <w:b/>
          <w:bCs/>
        </w:rPr>
        <w:t xml:space="preserve">small-business add-on services</w:t>
      </w:r>
      <w:r>
        <w:t xml:space="preserve">, retirement, and insurance;</w:t>
      </w:r>
    </w:p>
    <w:p>
      <w:pPr>
        <w:pStyle w:val="Compact"/>
        <w:numPr>
          <w:ilvl w:val="0"/>
          <w:numId w:val="1002"/>
        </w:numPr>
      </w:pPr>
      <w:r>
        <w:t xml:space="preserve">Whether the approximately 50/50 split between new-logo sales and upsell/cross-sell activity remains intact.</w:t>
      </w:r>
    </w:p>
    <w:p>
      <w:pPr>
        <w:pStyle w:val="FirstParagraph"/>
      </w:pPr>
      <w:r>
        <w:t xml:space="preserve">A high-end bookings result would support the case that ADP’s distribution reach, compliance capabilities, and product investments remain durable competitive advantages despite a crowded HCM market.</w:t>
      </w:r>
    </w:p>
    <w:bookmarkEnd w:id="11"/>
    <w:bookmarkStart w:id="12" w:name="X0c453aef8a11daab05e7890be8fa1293517781f"/>
    <w:p>
      <w:pPr>
        <w:pStyle w:val="Heading3"/>
      </w:pPr>
      <w:r>
        <w:t xml:space="preserve">2. FY27 framework: growth durability matters more than a single quarter</w:t>
      </w:r>
    </w:p>
    <w:p>
      <w:pPr>
        <w:pStyle w:val="FirstParagraph"/>
      </w:pPr>
      <w:r>
        <w:t xml:space="preserve">This report should include ADP’s initial FY27 outlook. That guidance is likely to determine the market reaction.</w:t>
      </w:r>
    </w:p>
    <w:p>
      <w:pPr>
        <w:pStyle w:val="BodyText"/>
      </w:pPr>
      <w:r>
        <w:t xml:space="preserve">The favorable FY26 earnings setup has been supported by several factors:</w:t>
      </w:r>
    </w:p>
    <w:p>
      <w:pPr>
        <w:pStyle w:val="Compact"/>
        <w:numPr>
          <w:ilvl w:val="0"/>
          <w:numId w:val="1003"/>
        </w:numPr>
      </w:pPr>
      <w:r>
        <w:t xml:space="preserve">Better retention and modestly stronger U.S. pays-per-control growth;</w:t>
      </w:r>
    </w:p>
    <w:p>
      <w:pPr>
        <w:pStyle w:val="Compact"/>
        <w:numPr>
          <w:ilvl w:val="0"/>
          <w:numId w:val="1003"/>
        </w:numPr>
      </w:pPr>
      <w:r>
        <w:t xml:space="preserve">Pricing, which management said was trending toward about</w:t>
      </w:r>
      <w:r>
        <w:t xml:space="preserve"> </w:t>
      </w:r>
      <w:r>
        <w:rPr>
          <w:b/>
          <w:bCs/>
        </w:rPr>
        <w:t xml:space="preserve">130 bps</w:t>
      </w:r>
      <w:r>
        <w:t xml:space="preserve"> </w:t>
      </w:r>
      <w:r>
        <w:t xml:space="preserve">of contribution versus an earlier roughly 100-bp goal;</w:t>
      </w:r>
    </w:p>
    <w:p>
      <w:pPr>
        <w:pStyle w:val="Compact"/>
        <w:numPr>
          <w:ilvl w:val="0"/>
          <w:numId w:val="1003"/>
        </w:numPr>
      </w:pPr>
      <w:r>
        <w:t xml:space="preserve">Client-funds balance growth and portfolio-yield improvement;</w:t>
      </w:r>
    </w:p>
    <w:p>
      <w:pPr>
        <w:pStyle w:val="Compact"/>
        <w:numPr>
          <w:ilvl w:val="0"/>
          <w:numId w:val="1003"/>
        </w:numPr>
      </w:pPr>
      <w:r>
        <w:t xml:space="preserve">Operating productivity from service and workflow automation;</w:t>
      </w:r>
    </w:p>
    <w:p>
      <w:pPr>
        <w:pStyle w:val="Compact"/>
        <w:numPr>
          <w:ilvl w:val="0"/>
          <w:numId w:val="1003"/>
        </w:numPr>
      </w:pPr>
      <w:r>
        <w:t xml:space="preserve">Share repurchases.</w:t>
      </w:r>
    </w:p>
    <w:p>
      <w:pPr>
        <w:pStyle w:val="FirstParagraph"/>
      </w:pPr>
      <w:r>
        <w:t xml:space="preserve">The question is how much of this remains durable in FY27. A constructive framework would include:</w:t>
      </w:r>
    </w:p>
    <w:p>
      <w:pPr>
        <w:pStyle w:val="Compact"/>
        <w:numPr>
          <w:ilvl w:val="0"/>
          <w:numId w:val="1004"/>
        </w:numPr>
      </w:pPr>
      <w:r>
        <w:t xml:space="preserve">Mid-single-digit or better revenue growth;</w:t>
      </w:r>
    </w:p>
    <w:p>
      <w:pPr>
        <w:pStyle w:val="Compact"/>
        <w:numPr>
          <w:ilvl w:val="0"/>
          <w:numId w:val="1004"/>
        </w:numPr>
      </w:pPr>
      <w:r>
        <w:t xml:space="preserve">Ongoing adjusted EBIT-margin expansion;</w:t>
      </w:r>
    </w:p>
    <w:p>
      <w:pPr>
        <w:pStyle w:val="Compact"/>
        <w:numPr>
          <w:ilvl w:val="0"/>
          <w:numId w:val="1004"/>
        </w:numPr>
      </w:pPr>
      <w:r>
        <w:t xml:space="preserve">Continued client-funds yield support from portfolio reinvestment;</w:t>
      </w:r>
    </w:p>
    <w:p>
      <w:pPr>
        <w:pStyle w:val="Compact"/>
        <w:numPr>
          <w:ilvl w:val="0"/>
          <w:numId w:val="1004"/>
        </w:numPr>
      </w:pPr>
      <w:r>
        <w:t xml:space="preserve">A credible bookings, retention, and pay-per-control outlook;</w:t>
      </w:r>
    </w:p>
    <w:p>
      <w:pPr>
        <w:pStyle w:val="Compact"/>
        <w:numPr>
          <w:ilvl w:val="0"/>
          <w:numId w:val="1004"/>
        </w:numPr>
      </w:pPr>
      <w:r>
        <w:t xml:space="preserve">Continued elevated repurchase activity.</w:t>
      </w:r>
    </w:p>
    <w:p>
      <w:pPr>
        <w:pStyle w:val="FirstParagraph"/>
      </w:pPr>
      <w:r>
        <w:t xml:space="preserve">Management said in April that it expected further FY27 margin acceleration as AI productivity benefits broaden, and that its laddered client-funds portfolio should benefit as maturing securities are reinvested at yields above the existing portfolio average. Those comments now need to become quantified guidance.</w:t>
      </w:r>
    </w:p>
    <w:bookmarkEnd w:id="12"/>
    <w:bookmarkStart w:id="13" w:name="X704040fc5fbc5e07c1b0fb033dd5ca7ea6f8aea"/>
    <w:p>
      <w:pPr>
        <w:pStyle w:val="Heading3"/>
      </w:pPr>
      <w:r>
        <w:t xml:space="preserve">3. Employer Services retention and U.S. pays per control</w:t>
      </w:r>
    </w:p>
    <w:p>
      <w:pPr>
        <w:pStyle w:val="FirstParagraph"/>
      </w:pPr>
      <w:r>
        <w:t xml:space="preserve">Q3 Employer Services retention was a record for a third quarter and broad-based across small business, enterprise, international, compliance, and retirement offerings. That performance allowed ADP to improve its full-year retention outlook to</w:t>
      </w:r>
      <w:r>
        <w:t xml:space="preserve"> </w:t>
      </w:r>
      <w:r>
        <w:rPr>
          <w:b/>
          <w:bCs/>
        </w:rPr>
        <w:t xml:space="preserve">flat to down 20 bps</w:t>
      </w:r>
      <w:r>
        <w:t xml:space="preserve">.</w:t>
      </w:r>
    </w:p>
    <w:p>
      <w:pPr>
        <w:pStyle w:val="BodyText"/>
      </w:pPr>
      <w:r>
        <w:t xml:space="preserve">For Q4, investors should watch whether retention remains resilient while pricing strengthens. Strong retention plus price realization is particularly valuable because it suggests ADP is monetizing product and service improvements without impairing customer relationships.</w:t>
      </w:r>
    </w:p>
    <w:p>
      <w:pPr>
        <w:pStyle w:val="BodyText"/>
      </w:pPr>
      <w:r>
        <w:t xml:space="preserve">U.S. pays per control was</w:t>
      </w:r>
      <w:r>
        <w:t xml:space="preserve"> </w:t>
      </w:r>
      <w:r>
        <w:rPr>
          <w:b/>
          <w:bCs/>
        </w:rPr>
        <w:t xml:space="preserve">up 1% in Q3</w:t>
      </w:r>
      <w:r>
        <w:t xml:space="preserve">, and the full-year outlook was about 1%. This remains the most direct operating indicator of employment levels across ADP’s client base. A result below that level—particularly in PEO—would reinforce concerns about a cooling labor market and the eventual effect of AI-related workforce changes. Recent labor-market commentary has indicated moderating hiring momentum, so the pay-per-control trajectory deserves close attention.</w:t>
      </w:r>
    </w:p>
    <w:bookmarkEnd w:id="13"/>
    <w:bookmarkStart w:id="14" w:name="X92174e89c559b56bce9714ac47d039fd4a07009"/>
    <w:p>
      <w:pPr>
        <w:pStyle w:val="Heading3"/>
      </w:pPr>
      <w:r>
        <w:t xml:space="preserve">4. PEO: worksite-employee growth and margins</w:t>
      </w:r>
    </w:p>
    <w:p>
      <w:pPr>
        <w:pStyle w:val="FirstParagraph"/>
      </w:pPr>
      <w:r>
        <w:t xml:space="preserve">The PEO business grew revenue 7% in Q3, while revenue excluding zero-margin benefits pass-throughs increased 5%. Average worksite employees increased 2%, but the segment’s margin declined 120 bps.</w:t>
      </w:r>
    </w:p>
    <w:p>
      <w:pPr>
        <w:pStyle w:val="BodyText"/>
      </w:pPr>
      <w:r>
        <w:t xml:space="preserve">The principal pressure points were:</w:t>
      </w:r>
    </w:p>
    <w:p>
      <w:pPr>
        <w:pStyle w:val="Compact"/>
        <w:numPr>
          <w:ilvl w:val="0"/>
          <w:numId w:val="1005"/>
        </w:numPr>
      </w:pPr>
      <w:r>
        <w:t xml:space="preserve">Higher zero-margin pass-through activity;</w:t>
      </w:r>
    </w:p>
    <w:p>
      <w:pPr>
        <w:pStyle w:val="Compact"/>
        <w:numPr>
          <w:ilvl w:val="0"/>
          <w:numId w:val="1005"/>
        </w:numPr>
      </w:pPr>
      <w:r>
        <w:t xml:space="preserve">Higher state-unemployment-insurance costs;</w:t>
      </w:r>
    </w:p>
    <w:p>
      <w:pPr>
        <w:pStyle w:val="Compact"/>
        <w:numPr>
          <w:ilvl w:val="0"/>
          <w:numId w:val="1005"/>
        </w:numPr>
      </w:pPr>
      <w:r>
        <w:t xml:space="preserve">Higher selling expense, partly reflecting stronger sales;</w:t>
      </w:r>
    </w:p>
    <w:p>
      <w:pPr>
        <w:pStyle w:val="Compact"/>
        <w:numPr>
          <w:ilvl w:val="0"/>
          <w:numId w:val="1005"/>
        </w:numPr>
      </w:pPr>
      <w:r>
        <w:t xml:space="preserve">Softer PEO pays-per-control growth;</w:t>
      </w:r>
    </w:p>
    <w:p>
      <w:pPr>
        <w:pStyle w:val="Compact"/>
        <w:numPr>
          <w:ilvl w:val="0"/>
          <w:numId w:val="1005"/>
        </w:numPr>
      </w:pPr>
      <w:r>
        <w:t xml:space="preserve">Less favorable workers’ compensation reserve development than the prior year.</w:t>
      </w:r>
    </w:p>
    <w:p>
      <w:pPr>
        <w:pStyle w:val="FirstParagraph"/>
      </w:pPr>
      <w:r>
        <w:t xml:space="preserve">For Q4, the market will want to see whether margin pressure was transitory or points to a more persistent mix/cost issue. A healthy outcome would be stable ~2% worksite-employee growth, continued underlying revenue growth, and evidence that PEO margins can normalize as sales investments and insurance-related comparisons become less burdensome.</w:t>
      </w:r>
    </w:p>
    <w:bookmarkEnd w:id="14"/>
    <w:bookmarkStart w:id="15" w:name="X70abeb579935146f6ba734640c1428ba4f181ba"/>
    <w:p>
      <w:pPr>
        <w:pStyle w:val="Heading3"/>
      </w:pPr>
      <w:r>
        <w:t xml:space="preserve">5. Client funds: an important profit lever, not just “float”</w:t>
      </w:r>
    </w:p>
    <w:p>
      <w:pPr>
        <w:pStyle w:val="FirstParagraph"/>
      </w:pPr>
      <w:r>
        <w:t xml:space="preserve">Client-funds interest income grew</w:t>
      </w:r>
      <w:r>
        <w:t xml:space="preserve"> </w:t>
      </w:r>
      <w:r>
        <w:rPr>
          <w:b/>
          <w:bCs/>
        </w:rPr>
        <w:t xml:space="preserve">14% to $404M</w:t>
      </w:r>
      <w:r>
        <w:t xml:space="preserve"> </w:t>
      </w:r>
      <w:r>
        <w:t xml:space="preserve">in Q3, driven by</w:t>
      </w:r>
      <w:r>
        <w:t xml:space="preserve"> </w:t>
      </w:r>
      <w:r>
        <w:rPr>
          <w:b/>
          <w:bCs/>
        </w:rPr>
        <w:t xml:space="preserve">9% growth in average client-fund balances</w:t>
      </w:r>
      <w:r>
        <w:t xml:space="preserve"> </w:t>
      </w:r>
      <w:r>
        <w:t xml:space="preserve">to $48.3B and a</w:t>
      </w:r>
      <w:r>
        <w:t xml:space="preserve"> </w:t>
      </w:r>
      <w:r>
        <w:rPr>
          <w:b/>
          <w:bCs/>
        </w:rPr>
        <w:t xml:space="preserve">10-bp increase in average portfolio yield</w:t>
      </w:r>
      <w:r>
        <w:t xml:space="preserve"> </w:t>
      </w:r>
      <w:r>
        <w:t xml:space="preserve">to 3.3%.</w:t>
      </w:r>
    </w:p>
    <w:p>
      <w:pPr>
        <w:pStyle w:val="BodyText"/>
      </w:pPr>
      <w:r>
        <w:t xml:space="preserve">For FY26, ADP’s guide called for:</w:t>
      </w:r>
    </w:p>
    <w:p>
      <w:pPr>
        <w:pStyle w:val="Compact"/>
        <w:numPr>
          <w:ilvl w:val="0"/>
          <w:numId w:val="1006"/>
        </w:numPr>
      </w:pPr>
      <w:r>
        <w:t xml:space="preserve">About</w:t>
      </w:r>
      <w:r>
        <w:t xml:space="preserve"> </w:t>
      </w:r>
      <w:r>
        <w:rPr>
          <w:b/>
          <w:bCs/>
        </w:rPr>
        <w:t xml:space="preserve">6%</w:t>
      </w:r>
      <w:r>
        <w:t xml:space="preserve"> </w:t>
      </w:r>
      <w:r>
        <w:t xml:space="preserve">average client-funds-balance growth;</w:t>
      </w:r>
    </w:p>
    <w:p>
      <w:pPr>
        <w:pStyle w:val="Compact"/>
        <w:numPr>
          <w:ilvl w:val="0"/>
          <w:numId w:val="1006"/>
        </w:numPr>
      </w:pPr>
      <w:r>
        <w:t xml:space="preserve">About</w:t>
      </w:r>
      <w:r>
        <w:t xml:space="preserve"> </w:t>
      </w:r>
      <w:r>
        <w:rPr>
          <w:b/>
          <w:bCs/>
        </w:rPr>
        <w:t xml:space="preserve">3.4%</w:t>
      </w:r>
      <w:r>
        <w:t xml:space="preserve"> </w:t>
      </w:r>
      <w:r>
        <w:t xml:space="preserve">average client-fund portfolio yield;</w:t>
      </w:r>
    </w:p>
    <w:p>
      <w:pPr>
        <w:pStyle w:val="Compact"/>
        <w:numPr>
          <w:ilvl w:val="0"/>
          <w:numId w:val="1006"/>
        </w:numPr>
      </w:pPr>
      <m:oMath>
        <m:r>
          <m:t>1.340</m:t>
        </m:r>
        <m:r>
          <m:t>B</m:t>
        </m:r>
        <m:r>
          <m:rPr>
            <m:sty m:val="p"/>
          </m:rPr>
          <m:t>–</m:t>
        </m:r>
      </m:oMath>
      <w:r>
        <w:rPr>
          <w:b/>
          <w:bCs/>
        </w:rPr>
        <w:t xml:space="preserve">1.350B</w:t>
      </w:r>
      <w:r>
        <w:t xml:space="preserve"> </w:t>
      </w:r>
      <w:r>
        <w:t xml:space="preserve">of client-funds interest income;</w:t>
      </w:r>
    </w:p>
    <w:p>
      <w:pPr>
        <w:pStyle w:val="Compact"/>
        <w:numPr>
          <w:ilvl w:val="0"/>
          <w:numId w:val="1006"/>
        </w:numPr>
      </w:pPr>
      <m:oMath>
        <m:r>
          <m:t>1.300</m:t>
        </m:r>
        <m:r>
          <m:t>B</m:t>
        </m:r>
        <m:r>
          <m:rPr>
            <m:sty m:val="p"/>
          </m:rPr>
          <m:t>–</m:t>
        </m:r>
      </m:oMath>
      <w:r>
        <w:rPr>
          <w:b/>
          <w:bCs/>
        </w:rPr>
        <w:t xml:space="preserve">1.310B</w:t>
      </w:r>
      <w:r>
        <w:t xml:space="preserve"> </w:t>
      </w:r>
      <w:r>
        <w:t xml:space="preserve">of net contribution from the extended investment strategy.</w:t>
      </w:r>
    </w:p>
    <w:p>
      <w:pPr>
        <w:pStyle w:val="FirstParagraph"/>
      </w:pPr>
      <w:r>
        <w:t xml:space="preserve">This business line is a material contributor to earnings and margin. The FY27 outlook needs to clarify the balance between portfolio reinvestment tailwinds and changing short-term borrowing costs. With monetary-policy expectations unsettled, ADP’s commentary on its reinvestment assumptions, client balance growth, and funding costs will be closely parsed.</w:t>
      </w:r>
    </w:p>
    <w:bookmarkEnd w:id="15"/>
    <w:bookmarkStart w:id="16" w:name="X138804ee08400dc02e71d6b3e1c7b3ba3d6b6f2"/>
    <w:p>
      <w:pPr>
        <w:pStyle w:val="Heading3"/>
      </w:pPr>
      <w:r>
        <w:t xml:space="preserve">6. AI: investors need measurable economics, not just product narrative</w:t>
      </w:r>
    </w:p>
    <w:p>
      <w:pPr>
        <w:pStyle w:val="FirstParagraph"/>
      </w:pPr>
      <w:r>
        <w:t xml:space="preserve">ADP’s strategic narrative is increasingly centered on AI-enabled payroll, HR, compliance, and service delivery. The Q3 evidence was tangible:</w:t>
      </w:r>
    </w:p>
    <w:p>
      <w:pPr>
        <w:pStyle w:val="Compact"/>
        <w:numPr>
          <w:ilvl w:val="0"/>
          <w:numId w:val="1007"/>
        </w:numPr>
      </w:pPr>
      <w:r>
        <w:t xml:space="preserve">ADP Assist payroll agents saved an average of</w:t>
      </w:r>
      <w:r>
        <w:t xml:space="preserve"> </w:t>
      </w:r>
      <w:r>
        <w:rPr>
          <w:b/>
          <w:bCs/>
        </w:rPr>
        <w:t xml:space="preserve">30 minutes per payroll</w:t>
      </w:r>
      <w:r>
        <w:t xml:space="preserve">;</w:t>
      </w:r>
    </w:p>
    <w:p>
      <w:pPr>
        <w:pStyle w:val="Compact"/>
        <w:numPr>
          <w:ilvl w:val="0"/>
          <w:numId w:val="1007"/>
        </w:numPr>
      </w:pPr>
      <w:r>
        <w:t xml:space="preserve">Smart Actions reduced clicks and time for common HR actions by roughly</w:t>
      </w:r>
      <w:r>
        <w:t xml:space="preserve"> </w:t>
      </w:r>
      <w:r>
        <w:rPr>
          <w:b/>
          <w:bCs/>
        </w:rPr>
        <w:t xml:space="preserve">80%</w:t>
      </w:r>
      <w:r>
        <w:t xml:space="preserve">;</w:t>
      </w:r>
    </w:p>
    <w:p>
      <w:pPr>
        <w:pStyle w:val="Compact"/>
        <w:numPr>
          <w:ilvl w:val="0"/>
          <w:numId w:val="1007"/>
        </w:numPr>
      </w:pPr>
      <w:r>
        <w:t xml:space="preserve">The company cited an</w:t>
      </w:r>
      <w:r>
        <w:t xml:space="preserve"> </w:t>
      </w:r>
      <w:r>
        <w:rPr>
          <w:b/>
          <w:bCs/>
        </w:rPr>
        <w:t xml:space="preserve">8% year-over-year reduction in small-business client contacts</w:t>
      </w:r>
      <w:r>
        <w:t xml:space="preserve"> </w:t>
      </w:r>
      <w:r>
        <w:t xml:space="preserve">during Q3;</w:t>
      </w:r>
    </w:p>
    <w:p>
      <w:pPr>
        <w:pStyle w:val="Compact"/>
        <w:numPr>
          <w:ilvl w:val="0"/>
          <w:numId w:val="1007"/>
        </w:numPr>
      </w:pPr>
      <w:r>
        <w:t xml:space="preserve">The Zone, ADP’s service platform, had reached 20% of the service population, with management targeting more than 40% by FY26 year-end.</w:t>
      </w:r>
    </w:p>
    <w:p>
      <w:pPr>
        <w:pStyle w:val="FirstParagraph"/>
      </w:pPr>
      <w:r>
        <w:t xml:space="preserve">The key question for this report is whether management can connect those operating examples to financial outcomes—especially lower cost to serve, sustained margin expansion, higher retention, pricing power, and faster product delivery. Investors should also listen for evidence of adoption and monetization in ADP Assist, Lyric HCM, Marketplace AI agents, and global payroll/time offerings.</w:t>
      </w:r>
    </w:p>
    <w:bookmarkEnd w:id="16"/>
    <w:bookmarkEnd w:id="17"/>
    <w:bookmarkStart w:id="21" w:name="bull-base-and-bear-read-throughs"/>
    <w:p>
      <w:pPr>
        <w:pStyle w:val="Heading2"/>
      </w:pPr>
      <w:r>
        <w:t xml:space="preserve">Bull, base, and bear read-throughs</w:t>
      </w:r>
    </w:p>
    <w:bookmarkStart w:id="18" w:name="bull-case"/>
    <w:p>
      <w:pPr>
        <w:pStyle w:val="Heading3"/>
      </w:pPr>
      <w:r>
        <w:t xml:space="preserve">Bull case</w:t>
      </w:r>
    </w:p>
    <w:p>
      <w:pPr>
        <w:pStyle w:val="Compact"/>
        <w:numPr>
          <w:ilvl w:val="0"/>
          <w:numId w:val="1008"/>
        </w:numPr>
      </w:pPr>
      <w:r>
        <w:t xml:space="preserve">FY26 results finish at or above the high end of the revenue, EBIT-margin, and EPS ranges;</w:t>
      </w:r>
    </w:p>
    <w:p>
      <w:pPr>
        <w:pStyle w:val="Compact"/>
        <w:numPr>
          <w:ilvl w:val="0"/>
          <w:numId w:val="1008"/>
        </w:numPr>
      </w:pPr>
      <w:r>
        <w:t xml:space="preserve">Employer Services bookings land near or above 7%;</w:t>
      </w:r>
    </w:p>
    <w:p>
      <w:pPr>
        <w:pStyle w:val="Compact"/>
        <w:numPr>
          <w:ilvl w:val="0"/>
          <w:numId w:val="1008"/>
        </w:numPr>
      </w:pPr>
      <w:r>
        <w:t xml:space="preserve">Retention remains strong while pricing stays healthy;</w:t>
      </w:r>
    </w:p>
    <w:p>
      <w:pPr>
        <w:pStyle w:val="Compact"/>
        <w:numPr>
          <w:ilvl w:val="0"/>
          <w:numId w:val="1008"/>
        </w:numPr>
      </w:pPr>
      <w:r>
        <w:t xml:space="preserve">PEO margin pressure begins to abate;</w:t>
      </w:r>
    </w:p>
    <w:p>
      <w:pPr>
        <w:pStyle w:val="Compact"/>
        <w:numPr>
          <w:ilvl w:val="0"/>
          <w:numId w:val="1008"/>
        </w:numPr>
      </w:pPr>
      <w:r>
        <w:t xml:space="preserve">FY27 guidance supports continued revenue growth, margin expansion, client-funds contribution, and elevated buybacks;</w:t>
      </w:r>
    </w:p>
    <w:p>
      <w:pPr>
        <w:pStyle w:val="Compact"/>
        <w:numPr>
          <w:ilvl w:val="0"/>
          <w:numId w:val="1008"/>
        </w:numPr>
      </w:pPr>
      <w:r>
        <w:t xml:space="preserve">Management quantifies AI productivity as a multi-year earnings lever.</w:t>
      </w:r>
    </w:p>
    <w:bookmarkEnd w:id="18"/>
    <w:bookmarkStart w:id="19" w:name="base-case"/>
    <w:p>
      <w:pPr>
        <w:pStyle w:val="Heading3"/>
      </w:pPr>
      <w:r>
        <w:t xml:space="preserve">Base case</w:t>
      </w:r>
    </w:p>
    <w:p>
      <w:pPr>
        <w:pStyle w:val="Compact"/>
        <w:numPr>
          <w:ilvl w:val="0"/>
          <w:numId w:val="1009"/>
        </w:numPr>
      </w:pPr>
      <w:r>
        <w:t xml:space="preserve">ADP meets its raised FY26 ranges;</w:t>
      </w:r>
    </w:p>
    <w:p>
      <w:pPr>
        <w:pStyle w:val="Compact"/>
        <w:numPr>
          <w:ilvl w:val="0"/>
          <w:numId w:val="1009"/>
        </w:numPr>
      </w:pPr>
      <w:r>
        <w:t xml:space="preserve">Bookings are within the 4%–7% range but not decisively high-end;</w:t>
      </w:r>
    </w:p>
    <w:p>
      <w:pPr>
        <w:pStyle w:val="Compact"/>
        <w:numPr>
          <w:ilvl w:val="0"/>
          <w:numId w:val="1009"/>
        </w:numPr>
      </w:pPr>
      <w:r>
        <w:t xml:space="preserve">FY27 guide suggests steady mid-single-digit growth and ongoing, though not accelerating, margin expansion;</w:t>
      </w:r>
    </w:p>
    <w:p>
      <w:pPr>
        <w:pStyle w:val="Compact"/>
        <w:numPr>
          <w:ilvl w:val="0"/>
          <w:numId w:val="1009"/>
        </w:numPr>
      </w:pPr>
      <w:r>
        <w:t xml:space="preserve">Management remains constructive but measured on employment trends, PEO profitability, and macro uncertainty.</w:t>
      </w:r>
    </w:p>
    <w:bookmarkEnd w:id="19"/>
    <w:bookmarkStart w:id="20" w:name="bear-case"/>
    <w:p>
      <w:pPr>
        <w:pStyle w:val="Heading3"/>
      </w:pPr>
      <w:r>
        <w:t xml:space="preserve">Bear case</w:t>
      </w:r>
    </w:p>
    <w:p>
      <w:pPr>
        <w:pStyle w:val="Compact"/>
        <w:numPr>
          <w:ilvl w:val="0"/>
          <w:numId w:val="1010"/>
        </w:numPr>
      </w:pPr>
      <w:r>
        <w:t xml:space="preserve">Q4 bookings or pay-per-control growth show a clear deceleration;</w:t>
      </w:r>
    </w:p>
    <w:p>
      <w:pPr>
        <w:pStyle w:val="Compact"/>
        <w:numPr>
          <w:ilvl w:val="0"/>
          <w:numId w:val="1010"/>
        </w:numPr>
      </w:pPr>
      <w:r>
        <w:t xml:space="preserve">FY26 results land near the low end of guidance after the Q3 raise;</w:t>
      </w:r>
    </w:p>
    <w:p>
      <w:pPr>
        <w:pStyle w:val="Compact"/>
        <w:numPr>
          <w:ilvl w:val="0"/>
          <w:numId w:val="1010"/>
        </w:numPr>
      </w:pPr>
      <w:r>
        <w:t xml:space="preserve">PEO margins remain pressured without a clear path to recovery;</w:t>
      </w:r>
    </w:p>
    <w:p>
      <w:pPr>
        <w:pStyle w:val="Compact"/>
        <w:numPr>
          <w:ilvl w:val="0"/>
          <w:numId w:val="1010"/>
        </w:numPr>
      </w:pPr>
      <w:r>
        <w:t xml:space="preserve">FY27 implies weaker growth or less margin expansion than investors expect;</w:t>
      </w:r>
    </w:p>
    <w:p>
      <w:pPr>
        <w:pStyle w:val="Compact"/>
        <w:numPr>
          <w:ilvl w:val="0"/>
          <w:numId w:val="1010"/>
        </w:numPr>
      </w:pPr>
      <w:r>
        <w:t xml:space="preserve">Higher rates/funding costs or soft client-funds balances limit the anticipated client-funds tailwind.</w:t>
      </w:r>
    </w:p>
    <w:bookmarkEnd w:id="20"/>
    <w:bookmarkEnd w:id="21"/>
    <w:bookmarkStart w:id="22" w:name="X9116bec721e8ecc27edd7ff5882de2109353ab2"/>
    <w:p>
      <w:pPr>
        <w:pStyle w:val="Heading2"/>
      </w:pPr>
      <w:r>
        <w:t xml:space="preserve">Questions investors should ask on the call</w:t>
      </w:r>
    </w:p>
    <w:p>
      <w:pPr>
        <w:pStyle w:val="Compact"/>
        <w:numPr>
          <w:ilvl w:val="0"/>
          <w:numId w:val="1011"/>
        </w:numPr>
      </w:pPr>
      <w:r>
        <w:rPr>
          <w:b/>
          <w:bCs/>
        </w:rPr>
        <w:t xml:space="preserve">Where did Employer Services bookings finish within the 4%–7% guide, and what were the strongest and weakest channels or customer segments?</w:t>
      </w:r>
    </w:p>
    <w:p>
      <w:pPr>
        <w:pStyle w:val="Compact"/>
        <w:numPr>
          <w:ilvl w:val="0"/>
          <w:numId w:val="1011"/>
        </w:numPr>
      </w:pPr>
      <w:r>
        <w:rPr>
          <w:b/>
          <w:bCs/>
        </w:rPr>
        <w:t xml:space="preserve">What does FY27 guidance assume for U.S. pays per control, client retention, pricing, and PEO worksite-employee growth?</w:t>
      </w:r>
    </w:p>
    <w:p>
      <w:pPr>
        <w:pStyle w:val="Compact"/>
        <w:numPr>
          <w:ilvl w:val="0"/>
          <w:numId w:val="1011"/>
        </w:numPr>
      </w:pPr>
      <w:r>
        <w:rPr>
          <w:b/>
          <w:bCs/>
        </w:rPr>
        <w:t xml:space="preserve">How much FY27 margin expansion is expected from AI/service productivity versus mix, pricing, and client-funds income?</w:t>
      </w:r>
    </w:p>
    <w:p>
      <w:pPr>
        <w:pStyle w:val="Compact"/>
        <w:numPr>
          <w:ilvl w:val="0"/>
          <w:numId w:val="1011"/>
        </w:numPr>
      </w:pPr>
      <w:r>
        <w:rPr>
          <w:b/>
          <w:bCs/>
        </w:rPr>
        <w:t xml:space="preserve">Is the Q3 PEO margin decline largely resolved, or should investors expect further pressure from SUI, workers’ compensation, or selling costs?</w:t>
      </w:r>
    </w:p>
    <w:p>
      <w:pPr>
        <w:pStyle w:val="Compact"/>
        <w:numPr>
          <w:ilvl w:val="0"/>
          <w:numId w:val="1011"/>
        </w:numPr>
      </w:pPr>
      <w:r>
        <w:rPr>
          <w:b/>
          <w:bCs/>
        </w:rPr>
        <w:t xml:space="preserve">How should investors model client-funds balances, portfolio yield, and funding costs under ADP’s current rate assumptions?</w:t>
      </w:r>
    </w:p>
    <w:p>
      <w:pPr>
        <w:pStyle w:val="Compact"/>
        <w:numPr>
          <w:ilvl w:val="0"/>
          <w:numId w:val="1011"/>
        </w:numPr>
      </w:pPr>
      <w:r>
        <w:rPr>
          <w:b/>
          <w:bCs/>
        </w:rPr>
        <w:t xml:space="preserve">What is the adoption trajectory for Lyric, ADP Assist, and the AI-agent Marketplace—and where is ADP seeing the most direct economic return?</w:t>
      </w:r>
    </w:p>
    <w:p>
      <w:pPr>
        <w:pStyle w:val="Compact"/>
        <w:numPr>
          <w:ilvl w:val="0"/>
          <w:numId w:val="1011"/>
        </w:numPr>
      </w:pPr>
      <w:r>
        <w:rPr>
          <w:b/>
          <w:bCs/>
        </w:rPr>
        <w:t xml:space="preserve">Will repurchases remain at FY26’s elevated pace, and how should capital allocation evolve alongside continued product, AI, and potential M&amp;A investment?</w:t>
      </w:r>
    </w:p>
    <w:bookmarkEnd w:id="22"/>
    <w:bookmarkStart w:id="24" w:name="bottom-line"/>
    <w:p>
      <w:pPr>
        <w:pStyle w:val="Heading2"/>
      </w:pPr>
      <w:r>
        <w:t xml:space="preserve">Bottom line</w:t>
      </w:r>
    </w:p>
    <w:p>
      <w:pPr>
        <w:pStyle w:val="FirstParagraph"/>
      </w:pPr>
      <w:r>
        <w:t xml:space="preserve">ADP has earned a premium setup going into Q4: strong Q3 execution, raised guidance, record retention, improving pricing, client-funds tailwinds, and a credible early AI-productivity story. But the stock’s sharp run means the bar is elevated.</w:t>
      </w:r>
    </w:p>
    <w:p>
      <w:pPr>
        <w:pStyle w:val="BodyText"/>
      </w:pPr>
      <w:r>
        <w:rPr>
          <w:b/>
          <w:bCs/>
        </w:rPr>
        <w:t xml:space="preserve">The most important outcomes are high-end FY26 delivery, a strong bookings finish, evidence that PEO margins are stabilizing, and FY27 guidance that validates continued growth-plus-margin-expansion.</w:t>
      </w:r>
      <w:r>
        <w:t xml:space="preserve"> </w:t>
      </w:r>
      <w:r>
        <w:t xml:space="preserve">If ADP delivers those elements, the report should reinforce the view that it can compound earnings through both operating execution and structural productivity gains. If it merely meets guidance while offering a cautious FY27 framework, the valuation and recent share-price strength leave room for disappointment.</w:t>
      </w:r>
    </w:p>
    <w:p>
      <w:r>
        <w:pict>
          <v:rect style="width:0;height:1.5pt" o:hralign="center" o:hrstd="t" o:hr="t"/>
        </w:pict>
      </w:r>
    </w:p>
    <w:bookmarkStart w:id="23" w:name="research-basis"/>
    <w:p>
      <w:pPr>
        <w:pStyle w:val="Heading3"/>
      </w:pPr>
      <w:r>
        <w:t xml:space="preserve">Research basis</w:t>
      </w:r>
    </w:p>
    <w:p>
      <w:pPr>
        <w:pStyle w:val="Compact"/>
        <w:numPr>
          <w:ilvl w:val="0"/>
          <w:numId w:val="1012"/>
        </w:numPr>
      </w:pPr>
      <w:r>
        <w:t xml:space="preserve">ADP FY2026 Q3 earnings release, April 29, 2026</w:t>
      </w:r>
    </w:p>
    <w:p>
      <w:pPr>
        <w:pStyle w:val="Compact"/>
        <w:numPr>
          <w:ilvl w:val="0"/>
          <w:numId w:val="1012"/>
        </w:numPr>
      </w:pPr>
      <w:r>
        <w:t xml:space="preserve">ADP FY2026 Q3 earnings-call transcript, April 29, 2026</w:t>
      </w:r>
    </w:p>
    <w:p>
      <w:pPr>
        <w:pStyle w:val="Compact"/>
        <w:numPr>
          <w:ilvl w:val="0"/>
          <w:numId w:val="1012"/>
        </w:numPr>
      </w:pPr>
      <w:r>
        <w:t xml:space="preserve">ADP Q4 FY2026 earnings-date announcement, June 29, 2026</w:t>
      </w:r>
    </w:p>
    <w:p>
      <w:pPr>
        <w:pStyle w:val="Compact"/>
        <w:numPr>
          <w:ilvl w:val="0"/>
          <w:numId w:val="1012"/>
        </w:numPr>
      </w:pPr>
      <w:r>
        <w:t xml:space="preserve">ADP share-price history through July 28, 2026</w:t>
      </w:r>
    </w:p>
    <w:bookmarkEnd w:id="23"/>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2026-07-29T00:29:40Z</dcterms:created>
  <dcterms:modified xsi:type="dcterms:W3CDTF">2026-07-29T00:29:40Z</dcterms:modified>
</cp:coreProperties>
</file>

<file path=docProps/custom.xml><?xml version="1.0" encoding="utf-8"?>
<Properties xmlns="http://schemas.openxmlformats.org/officeDocument/2006/custom-properties" xmlns:vt="http://schemas.openxmlformats.org/officeDocument/2006/docPropsVTypes"/>
</file>