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Automatic Data Processing, Inc. (ADP) — Q4 FY2026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Automatic Data Processing, Inc.</w:t>
            </w:r>
          </w:p>
        </w:tc>
      </w:tr>
      <w:tr>
        <w:tc>
          <w:tcPr>
            <w:tcW w:type="dxa" w:w="4320"/>
          </w:tcPr>
          <w:p>
            <w:r>
              <w:rPr>
                <w:rFonts w:ascii="Calibri" w:hAnsi="Calibri"/>
                <w:b/>
                <w:sz w:val="22"/>
              </w:rPr>
              <w:t>Ticker</w:t>
            </w:r>
          </w:p>
        </w:tc>
        <w:tc>
          <w:tcPr>
            <w:tcW w:type="dxa" w:w="4320"/>
          </w:tcPr>
          <w:p>
            <w:r>
              <w:rPr>
                <w:rFonts w:ascii="Calibri" w:hAnsi="Calibri"/>
                <w:sz w:val="22"/>
              </w:rPr>
              <w:t>NASDAQ: ADP</w:t>
            </w:r>
          </w:p>
        </w:tc>
      </w:tr>
      <w:tr>
        <w:tc>
          <w:tcPr>
            <w:tcW w:type="dxa" w:w="4320"/>
          </w:tcPr>
          <w:p>
            <w:r>
              <w:rPr>
                <w:rFonts w:ascii="Calibri" w:hAnsi="Calibri"/>
                <w:b/>
                <w:sz w:val="22"/>
              </w:rPr>
              <w:t>Reporting Period</w:t>
            </w:r>
          </w:p>
        </w:tc>
        <w:tc>
          <w:tcPr>
            <w:tcW w:type="dxa" w:w="4320"/>
          </w:tcPr>
          <w:p>
            <w:r>
              <w:rPr>
                <w:rFonts w:ascii="Calibri" w:hAnsi="Calibri"/>
                <w:sz w:val="22"/>
              </w:rPr>
              <w:t>Q4 FY2026 (fiscal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(pre-market)</w:t>
            </w:r>
          </w:p>
        </w:tc>
      </w:tr>
      <w:tr>
        <w:tc>
          <w:tcPr>
            <w:tcW w:type="dxa" w:w="4320"/>
          </w:tcPr>
          <w:p>
            <w:r>
              <w:rPr>
                <w:rFonts w:ascii="Calibri" w:hAnsi="Calibri"/>
                <w:b/>
                <w:sz w:val="22"/>
              </w:rPr>
              <w:t>Last Earnings</w:t>
            </w:r>
          </w:p>
        </w:tc>
        <w:tc>
          <w:tcPr>
            <w:tcW w:type="dxa" w:w="4320"/>
          </w:tcPr>
          <w:p>
            <w:r>
              <w:rPr>
                <w:rFonts w:ascii="Calibri" w:hAnsi="Calibri"/>
                <w:sz w:val="22"/>
              </w:rPr>
              <w:t>April 29, 2026 (Q3 FY2026)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cautiously constructive — consensus is a manageable bar, Q4 is ADP's most critical bookings quarter, and the stock has already re-rated sharply (+23% since last earnings), meaning execution must confirm the narrative rather than just meet it; the single biggest swing factor is whether Q4 bookings land within the 4–7% full-year growth guide.</w:t>
      </w:r>
    </w:p>
    <w:p>
      <w:r>
        <w:rPr>
          <w:rFonts w:ascii="Calibri" w:hAnsi="Calibri"/>
          <w:color w:val="525866"/>
          <w:sz w:val="22"/>
        </w:rPr>
        <w:t xml:space="preserve">Heading into Q4 FY2026, ADP's bar is achievable but not low: consensus expects </w:t>
      </w:r>
      <w:r>
        <w:rPr>
          <w:rFonts w:ascii="Calibri" w:hAnsi="Calibri"/>
          <w:b/>
          <w:color w:val="525866"/>
          <w:sz w:val="22"/>
        </w:rPr>
        <w:t>$2.59 adjusted EPS</w:t>
      </w:r>
      <w:r>
        <w:rPr>
          <w:rFonts w:ascii="Calibri" w:hAnsi="Calibri"/>
          <w:color w:val="525866"/>
          <w:sz w:val="22"/>
        </w:rPr>
        <w:t xml:space="preserve"> on </w:t>
      </w:r>
      <w:r>
        <w:rPr>
          <w:rFonts w:ascii="Calibri" w:hAnsi="Calibri"/>
          <w:b/>
          <w:color w:val="525866"/>
          <w:sz w:val="22"/>
        </w:rPr>
        <w:t>$5.44B in revenue</w:t>
      </w:r>
      <w:r>
        <w:rPr>
          <w:rFonts w:ascii="Calibri" w:hAnsi="Calibri"/>
          <w:color w:val="525866"/>
          <w:sz w:val="22"/>
        </w:rPr>
        <w:t xml:space="preserve"> (+6.1% YoY), consistent with the raised full-year guidance of 6–7% revenue growth and 10–11% adjusted EPS growth issued on April 29. Management's tone coming out of Q3 was the most confident in several quarters — record ES retention, broad-based bookings strength in Q1–Q3, AI productivity gains visibly manifesting in margins, and a guidance raise across all three headline metrics — leaving little room for a cautious Q4 print. Estimate revisions have been essentially flat since the Q3 beat, suggesting the street has already absorbed the raised guide and is not pricing in incremental upside; the gap between consensus and guidance midpoints is tight across all KPIs. The stock has surged ~23% since the April 29 print (vs. SPY +4%), pricing in a meaningful re-rating on the AI efficiency narrative and operational momentum, which raises the bar for a positive reaction on July 29. The key wildcard is </w:t>
      </w:r>
      <w:r>
        <w:rPr>
          <w:rFonts w:ascii="Calibri" w:hAnsi="Calibri"/>
          <w:b/>
          <w:color w:val="525866"/>
          <w:sz w:val="22"/>
        </w:rPr>
        <w:t>Q4 bookings</w:t>
      </w:r>
      <w:r>
        <w:rPr>
          <w:rFonts w:ascii="Calibri" w:hAnsi="Calibri"/>
          <w:color w:val="525866"/>
          <w:sz w:val="22"/>
        </w:rPr>
        <w:t>: Q4 is ADP's largest bookings quarter (meaningfully above one quarter of annual bookings), management acknowledged a modest shortfall in Q4 of the prior fiscal year, and the full-year 4–7% guide implies acceleration — a miss on bookings would be the most likely catalyst for a negative reaction despite otherwise solid results.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but not easy bar — all KPIs are tracking within or slightly above guidance midpoints. </w:t>
      </w:r>
      <w:r>
        <w:rPr>
          <w:rFonts w:ascii="Calibri" w:hAnsi="Calibri"/>
          <w:b/>
          <w:color w:val="525866"/>
          <w:sz w:val="22"/>
        </w:rPr>
        <w:t>ES new business bookings is the biggest swing factor</w:t>
      </w:r>
      <w:r>
        <w:rPr>
          <w:rFonts w:ascii="Calibri" w:hAnsi="Calibri"/>
          <w:color w:val="525866"/>
          <w:sz w:val="22"/>
        </w:rPr>
        <w:t>: Q4 is the largest bookings quarter of the year and the full-year 4–7% guide requires acceleration vs. the prior year's Q4 shortfall. Adjusted EPS of $2.59 (+14.6% YoY) is the primary valuation driver.</w:t>
      </w:r>
    </w:p>
    <w:p>
      <w:pPr>
        <w:pStyle w:val="Heading3"/>
      </w:pPr>
      <w:r>
        <w:rPr>
          <w:rFonts w:ascii="Calibri" w:hAnsi="Calibri"/>
          <w:b/>
          <w:color w:val="3B4259"/>
          <w:sz w:val="24"/>
        </w:rPr>
        <w:t>Table 1 — Q4 FY2026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(Q3 FY2026)</w:t>
            </w:r>
          </w:p>
        </w:tc>
        <w:tc>
          <w:tcPr>
            <w:tcW w:type="dxa" w:w="1234"/>
            <w:shd w:val="clear" w:color="auto" w:fill="3B4259"/>
          </w:tcPr>
          <w:p>
            <w:r>
              <w:rPr>
                <w:rFonts w:ascii="Calibri" w:hAnsi="Calibri"/>
                <w:b/>
                <w:color w:val="FFFFFF"/>
                <w:sz w:val="22"/>
              </w:rPr>
              <w:t>Prior Year Period (Q4 FY2025 Actual)</w:t>
            </w:r>
          </w:p>
        </w:tc>
        <w:tc>
          <w:tcPr>
            <w:tcW w:type="dxa" w:w="1234"/>
            <w:shd w:val="clear" w:color="auto" w:fill="3B4259"/>
          </w:tcPr>
          <w:p>
            <w:r>
              <w:rPr>
                <w:rFonts w:ascii="Calibri" w:hAnsi="Calibri"/>
                <w:b/>
                <w:color w:val="FFFFFF"/>
                <w:sz w:val="22"/>
              </w:rPr>
              <w:t>Q4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 (last call)</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$5.939B</w:t>
            </w:r>
          </w:p>
        </w:tc>
        <w:tc>
          <w:tcPr>
            <w:tcW w:type="dxa" w:w="1234"/>
          </w:tcPr>
          <w:p>
            <w:r>
              <w:rPr>
                <w:rFonts w:ascii="Calibri" w:hAnsi="Calibri"/>
                <w:sz w:val="22"/>
              </w:rPr>
              <w:t>$5.127B</w:t>
            </w:r>
          </w:p>
        </w:tc>
        <w:tc>
          <w:tcPr>
            <w:tcW w:type="dxa" w:w="1234"/>
          </w:tcPr>
          <w:p>
            <w:r>
              <w:rPr>
                <w:rFonts w:ascii="Calibri" w:hAnsi="Calibri"/>
                <w:sz w:val="22"/>
              </w:rPr>
              <w:t>$5.438B</w:t>
            </w:r>
          </w:p>
        </w:tc>
        <w:tc>
          <w:tcPr>
            <w:tcW w:type="dxa" w:w="1234"/>
          </w:tcPr>
          <w:p>
            <w:r>
              <w:rPr>
                <w:rFonts w:ascii="Calibri" w:hAnsi="Calibri"/>
                <w:sz w:val="22"/>
              </w:rPr>
              <w:t>+6.1%</w:t>
            </w:r>
          </w:p>
        </w:tc>
        <w:tc>
          <w:tcPr>
            <w:tcW w:type="dxa" w:w="1234"/>
          </w:tcPr>
          <w:p>
            <w:r>
              <w:rPr>
                <w:rFonts w:ascii="Calibri" w:hAnsi="Calibri"/>
                <w:sz w:val="22"/>
              </w:rPr>
              <w:t>6–7% growth (FY)</w:t>
            </w:r>
          </w:p>
        </w:tc>
        <w:tc>
          <w:tcPr>
            <w:tcW w:type="dxa" w:w="1234"/>
          </w:tcPr>
          <w:p>
            <w:r>
              <w:rPr>
                <w:rFonts w:ascii="Calibri" w:hAnsi="Calibri"/>
                <w:sz w:val="22"/>
              </w:rPr>
              <w:t>~In line</w:t>
            </w:r>
          </w:p>
        </w:tc>
      </w:tr>
      <w:tr>
        <w:tc>
          <w:tcPr>
            <w:tcW w:type="dxa" w:w="1234"/>
          </w:tcPr>
          <w:p>
            <w:r>
              <w:rPr>
                <w:rFonts w:ascii="Calibri" w:hAnsi="Calibri"/>
                <w:sz w:val="22"/>
              </w:rPr>
              <w:t>Employer Services Revenue ($B)</w:t>
            </w:r>
          </w:p>
        </w:tc>
        <w:tc>
          <w:tcPr>
            <w:tcW w:type="dxa" w:w="1234"/>
          </w:tcPr>
          <w:p>
            <w:r>
              <w:rPr>
                <w:rFonts w:ascii="Calibri" w:hAnsi="Calibri"/>
                <w:sz w:val="22"/>
              </w:rPr>
              <w:t>$4.036B</w:t>
            </w:r>
          </w:p>
        </w:tc>
        <w:tc>
          <w:tcPr>
            <w:tcW w:type="dxa" w:w="1234"/>
          </w:tcPr>
          <w:p>
            <w:r>
              <w:rPr>
                <w:rFonts w:ascii="Calibri" w:hAnsi="Calibri"/>
                <w:sz w:val="22"/>
              </w:rPr>
              <w:t>$3.466B</w:t>
            </w:r>
          </w:p>
        </w:tc>
        <w:tc>
          <w:tcPr>
            <w:tcW w:type="dxa" w:w="1234"/>
          </w:tcPr>
          <w:p>
            <w:r>
              <w:rPr>
                <w:rFonts w:ascii="Calibri" w:hAnsi="Calibri"/>
                <w:sz w:val="22"/>
              </w:rPr>
              <w:t>$3.663B</w:t>
            </w:r>
          </w:p>
        </w:tc>
        <w:tc>
          <w:tcPr>
            <w:tcW w:type="dxa" w:w="1234"/>
          </w:tcPr>
          <w:p>
            <w:r>
              <w:rPr>
                <w:rFonts w:ascii="Calibri" w:hAnsi="Calibri"/>
                <w:sz w:val="22"/>
              </w:rPr>
              <w:t>+5.7%</w:t>
            </w:r>
          </w:p>
        </w:tc>
        <w:tc>
          <w:tcPr>
            <w:tcW w:type="dxa" w:w="1234"/>
          </w:tcPr>
          <w:p>
            <w:r>
              <w:rPr>
                <w:rFonts w:ascii="Calibri" w:hAnsi="Calibri"/>
                <w:sz w:val="22"/>
              </w:rPr>
              <w:t>6–7% growth (FY)</w:t>
            </w:r>
          </w:p>
        </w:tc>
        <w:tc>
          <w:tcPr>
            <w:tcW w:type="dxa" w:w="1234"/>
          </w:tcPr>
          <w:p>
            <w:r>
              <w:rPr>
                <w:rFonts w:ascii="Calibri" w:hAnsi="Calibri"/>
                <w:sz w:val="22"/>
              </w:rPr>
              <w:t>~In line</w:t>
            </w:r>
          </w:p>
        </w:tc>
      </w:tr>
      <w:tr>
        <w:tc>
          <w:tcPr>
            <w:tcW w:type="dxa" w:w="1234"/>
          </w:tcPr>
          <w:p>
            <w:r>
              <w:rPr>
                <w:rFonts w:ascii="Calibri" w:hAnsi="Calibri"/>
                <w:sz w:val="22"/>
              </w:rPr>
              <w:t>PEO Services Revenue ($B)</w:t>
            </w:r>
          </w:p>
        </w:tc>
        <w:tc>
          <w:tcPr>
            <w:tcW w:type="dxa" w:w="1234"/>
          </w:tcPr>
          <w:p>
            <w:r>
              <w:rPr>
                <w:rFonts w:ascii="Calibri" w:hAnsi="Calibri"/>
                <w:sz w:val="22"/>
              </w:rPr>
              <w:t>$1.906B</w:t>
            </w:r>
          </w:p>
        </w:tc>
        <w:tc>
          <w:tcPr>
            <w:tcW w:type="dxa" w:w="1234"/>
          </w:tcPr>
          <w:p>
            <w:r>
              <w:rPr>
                <w:rFonts w:ascii="Calibri" w:hAnsi="Calibri"/>
                <w:sz w:val="22"/>
              </w:rPr>
              <w:t>$1.661B</w:t>
            </w:r>
          </w:p>
        </w:tc>
        <w:tc>
          <w:tcPr>
            <w:tcW w:type="dxa" w:w="1234"/>
          </w:tcPr>
          <w:p>
            <w:r>
              <w:rPr>
                <w:rFonts w:ascii="Calibri" w:hAnsi="Calibri"/>
                <w:sz w:val="22"/>
              </w:rPr>
              <w:t>$1.773B</w:t>
            </w:r>
          </w:p>
        </w:tc>
        <w:tc>
          <w:tcPr>
            <w:tcW w:type="dxa" w:w="1234"/>
          </w:tcPr>
          <w:p>
            <w:r>
              <w:rPr>
                <w:rFonts w:ascii="Calibri" w:hAnsi="Calibri"/>
                <w:sz w:val="22"/>
              </w:rPr>
              <w:t>+6.7%</w:t>
            </w:r>
          </w:p>
        </w:tc>
        <w:tc>
          <w:tcPr>
            <w:tcW w:type="dxa" w:w="1234"/>
          </w:tcPr>
          <w:p>
            <w:r>
              <w:rPr>
                <w:rFonts w:ascii="Calibri" w:hAnsi="Calibri"/>
                <w:sz w:val="22"/>
              </w:rPr>
              <w:t>6–7% growth (FY)</w:t>
            </w:r>
          </w:p>
        </w:tc>
        <w:tc>
          <w:tcPr>
            <w:tcW w:type="dxa" w:w="1234"/>
          </w:tcPr>
          <w:p>
            <w:r>
              <w:rPr>
                <w:rFonts w:ascii="Calibri" w:hAnsi="Calibri"/>
                <w:sz w:val="22"/>
              </w:rPr>
              <w:t>~In line</w:t>
            </w:r>
          </w:p>
        </w:tc>
      </w:tr>
      <w:tr>
        <w:tc>
          <w:tcPr>
            <w:tcW w:type="dxa" w:w="1234"/>
          </w:tcPr>
          <w:p>
            <w:r>
              <w:rPr>
                <w:rFonts w:ascii="Calibri" w:hAnsi="Calibri"/>
                <w:sz w:val="22"/>
              </w:rPr>
              <w:t>Adjusted EPS (Diluted Operating)</w:t>
            </w:r>
          </w:p>
        </w:tc>
        <w:tc>
          <w:tcPr>
            <w:tcW w:type="dxa" w:w="1234"/>
          </w:tcPr>
          <w:p>
            <w:r>
              <w:rPr>
                <w:rFonts w:ascii="Calibri" w:hAnsi="Calibri"/>
                <w:sz w:val="22"/>
              </w:rPr>
              <w:t>$3.37</w:t>
            </w:r>
          </w:p>
        </w:tc>
        <w:tc>
          <w:tcPr>
            <w:tcW w:type="dxa" w:w="1234"/>
          </w:tcPr>
          <w:p>
            <w:r>
              <w:rPr>
                <w:rFonts w:ascii="Calibri" w:hAnsi="Calibri"/>
                <w:sz w:val="22"/>
              </w:rPr>
              <w:t>$2.26</w:t>
            </w:r>
          </w:p>
        </w:tc>
        <w:tc>
          <w:tcPr>
            <w:tcW w:type="dxa" w:w="1234"/>
          </w:tcPr>
          <w:p>
            <w:r>
              <w:rPr>
                <w:rFonts w:ascii="Calibri" w:hAnsi="Calibri"/>
                <w:sz w:val="22"/>
              </w:rPr>
              <w:t>$2.59</w:t>
            </w:r>
          </w:p>
        </w:tc>
        <w:tc>
          <w:tcPr>
            <w:tcW w:type="dxa" w:w="1234"/>
          </w:tcPr>
          <w:p>
            <w:r>
              <w:rPr>
                <w:rFonts w:ascii="Calibri" w:hAnsi="Calibri"/>
                <w:sz w:val="22"/>
              </w:rPr>
              <w:t>+14.6%</w:t>
            </w:r>
          </w:p>
        </w:tc>
        <w:tc>
          <w:tcPr>
            <w:tcW w:type="dxa" w:w="1234"/>
          </w:tcPr>
          <w:p>
            <w:r>
              <w:rPr>
                <w:rFonts w:ascii="Calibri" w:hAnsi="Calibri"/>
                <w:sz w:val="22"/>
              </w:rPr>
              <w:t>10–11% growth (FY)</w:t>
            </w:r>
          </w:p>
        </w:tc>
        <w:tc>
          <w:tcPr>
            <w:tcW w:type="dxa" w:w="1234"/>
          </w:tcPr>
          <w:p>
            <w:r>
              <w:rPr>
                <w:rFonts w:ascii="Calibri" w:hAnsi="Calibri"/>
                <w:sz w:val="22"/>
              </w:rPr>
              <w:t>~In line</w:t>
            </w:r>
          </w:p>
        </w:tc>
      </w:tr>
      <w:tr>
        <w:tc>
          <w:tcPr>
            <w:tcW w:type="dxa" w:w="1234"/>
          </w:tcPr>
          <w:p>
            <w:r>
              <w:rPr>
                <w:rFonts w:ascii="Calibri" w:hAnsi="Calibri"/>
                <w:sz w:val="22"/>
              </w:rPr>
              <w:t>Adjusted EBIT ($B)</w:t>
            </w:r>
          </w:p>
        </w:tc>
        <w:tc>
          <w:tcPr>
            <w:tcW w:type="dxa" w:w="1234"/>
          </w:tcPr>
          <w:p>
            <w:r>
              <w:rPr>
                <w:rFonts w:ascii="Calibri" w:hAnsi="Calibri"/>
                <w:sz w:val="22"/>
              </w:rPr>
              <w:t>$1.792B</w:t>
            </w:r>
          </w:p>
        </w:tc>
        <w:tc>
          <w:tcPr>
            <w:tcW w:type="dxa" w:w="1234"/>
          </w:tcPr>
          <w:p>
            <w:r>
              <w:rPr>
                <w:rFonts w:ascii="Calibri" w:hAnsi="Calibri"/>
                <w:sz w:val="22"/>
              </w:rPr>
              <w:t>$1.213B</w:t>
            </w:r>
          </w:p>
        </w:tc>
        <w:tc>
          <w:tcPr>
            <w:tcW w:type="dxa" w:w="1234"/>
          </w:tcPr>
          <w:p>
            <w:r>
              <w:rPr>
                <w:rFonts w:ascii="Calibri" w:hAnsi="Calibri"/>
                <w:sz w:val="22"/>
              </w:rPr>
              <w:t>$1.360B</w:t>
            </w:r>
          </w:p>
        </w:tc>
        <w:tc>
          <w:tcPr>
            <w:tcW w:type="dxa" w:w="1234"/>
          </w:tcPr>
          <w:p>
            <w:r>
              <w:rPr>
                <w:rFonts w:ascii="Calibri" w:hAnsi="Calibri"/>
                <w:sz w:val="22"/>
              </w:rPr>
              <w:t>+12.1%</w:t>
            </w:r>
          </w:p>
        </w:tc>
        <w:tc>
          <w:tcPr>
            <w:tcW w:type="dxa" w:w="1234"/>
          </w:tcPr>
          <w:p>
            <w:r>
              <w:rPr>
                <w:rFonts w:ascii="Calibri" w:hAnsi="Calibri"/>
                <w:sz w:val="22"/>
              </w:rPr>
              <w:t>70–80 bps margin expansion (FY)</w:t>
            </w:r>
          </w:p>
        </w:tc>
        <w:tc>
          <w:tcPr>
            <w:tcW w:type="dxa" w:w="1234"/>
          </w:tcPr>
          <w:p>
            <w:r>
              <w:rPr>
                <w:rFonts w:ascii="Calibri" w:hAnsi="Calibri"/>
                <w:sz w:val="22"/>
              </w:rPr>
              <w:t>~In line</w:t>
            </w:r>
          </w:p>
        </w:tc>
      </w:tr>
      <w:tr>
        <w:tc>
          <w:tcPr>
            <w:tcW w:type="dxa" w:w="1234"/>
          </w:tcPr>
          <w:p>
            <w:r>
              <w:rPr>
                <w:rFonts w:ascii="Calibri" w:hAnsi="Calibri"/>
                <w:sz w:val="22"/>
              </w:rPr>
              <w:t>ES Client Revenue Retention (%)</w:t>
            </w:r>
          </w:p>
        </w:tc>
        <w:tc>
          <w:tcPr>
            <w:tcW w:type="dxa" w:w="1234"/>
          </w:tcPr>
          <w:p>
            <w:r>
              <w:rPr>
                <w:rFonts w:ascii="Calibri" w:hAnsi="Calibri"/>
                <w:sz w:val="22"/>
              </w:rPr>
              <w:t>91.79% (Q3 record)</w:t>
            </w:r>
          </w:p>
        </w:tc>
        <w:tc>
          <w:tcPr>
            <w:tcW w:type="dxa" w:w="1234"/>
          </w:tcPr>
          <w:p>
            <w:r>
              <w:rPr>
                <w:rFonts w:ascii="Calibri" w:hAnsi="Calibri"/>
                <w:sz w:val="22"/>
              </w:rPr>
              <w:t>91.18%</w:t>
            </w:r>
          </w:p>
        </w:tc>
        <w:tc>
          <w:tcPr>
            <w:tcW w:type="dxa" w:w="1234"/>
          </w:tcPr>
          <w:p>
            <w:r>
              <w:rPr>
                <w:rFonts w:ascii="Calibri" w:hAnsi="Calibri"/>
                <w:sz w:val="22"/>
              </w:rPr>
              <w:t>91.03%</w:t>
            </w:r>
          </w:p>
        </w:tc>
        <w:tc>
          <w:tcPr>
            <w:tcW w:type="dxa" w:w="1234"/>
          </w:tcPr>
          <w:p>
            <w:r>
              <w:rPr>
                <w:rFonts w:ascii="Calibri" w:hAnsi="Calibri"/>
                <w:sz w:val="22"/>
              </w:rPr>
              <w:t>-0.15 pp</w:t>
            </w:r>
          </w:p>
        </w:tc>
        <w:tc>
          <w:tcPr>
            <w:tcW w:type="dxa" w:w="1234"/>
          </w:tcPr>
          <w:p>
            <w:r>
              <w:rPr>
                <w:rFonts w:ascii="Calibri" w:hAnsi="Calibri"/>
                <w:sz w:val="22"/>
              </w:rPr>
              <w:t>Flat to -20 bps (FY)</w:t>
            </w:r>
          </w:p>
        </w:tc>
        <w:tc>
          <w:tcPr>
            <w:tcW w:type="dxa" w:w="1234"/>
          </w:tcPr>
          <w:p>
            <w:r>
              <w:rPr>
                <w:rFonts w:ascii="Calibri" w:hAnsi="Calibri"/>
                <w:sz w:val="22"/>
              </w:rPr>
              <w:t>~In line</w:t>
            </w:r>
          </w:p>
        </w:tc>
      </w:tr>
      <w:tr>
        <w:tc>
          <w:tcPr>
            <w:tcW w:type="dxa" w:w="1234"/>
          </w:tcPr>
          <w:p>
            <w:r>
              <w:rPr>
                <w:rFonts w:ascii="Calibri" w:hAnsi="Calibri"/>
                <w:sz w:val="22"/>
              </w:rPr>
              <w:t>Avg. PEO Worksite Employees (#)</w:t>
            </w:r>
          </w:p>
        </w:tc>
        <w:tc>
          <w:tcPr>
            <w:tcW w:type="dxa" w:w="1234"/>
          </w:tcPr>
          <w:p>
            <w:r>
              <w:rPr>
                <w:rFonts w:ascii="Calibri" w:hAnsi="Calibri"/>
                <w:sz w:val="22"/>
              </w:rPr>
              <w:t>~762,000</w:t>
            </w:r>
          </w:p>
        </w:tc>
        <w:tc>
          <w:tcPr>
            <w:tcW w:type="dxa" w:w="1234"/>
          </w:tcPr>
          <w:p>
            <w:r>
              <w:rPr>
                <w:rFonts w:ascii="Calibri" w:hAnsi="Calibri"/>
                <w:sz w:val="22"/>
              </w:rPr>
              <w:t>~761,000</w:t>
            </w:r>
          </w:p>
        </w:tc>
        <w:tc>
          <w:tcPr>
            <w:tcW w:type="dxa" w:w="1234"/>
          </w:tcPr>
          <w:p>
            <w:r>
              <w:rPr>
                <w:rFonts w:ascii="Calibri" w:hAnsi="Calibri"/>
                <w:sz w:val="22"/>
              </w:rPr>
              <w:t>~775,544</w:t>
            </w:r>
          </w:p>
        </w:tc>
        <w:tc>
          <w:tcPr>
            <w:tcW w:type="dxa" w:w="1234"/>
          </w:tcPr>
          <w:p>
            <w:r>
              <w:rPr>
                <w:rFonts w:ascii="Calibri" w:hAnsi="Calibri"/>
                <w:sz w:val="22"/>
              </w:rPr>
              <w:t>+1.9%</w:t>
            </w:r>
          </w:p>
        </w:tc>
        <w:tc>
          <w:tcPr>
            <w:tcW w:type="dxa" w:w="1234"/>
          </w:tcPr>
          <w:p>
            <w:r>
              <w:rPr>
                <w:rFonts w:ascii="Calibri" w:hAnsi="Calibri"/>
                <w:sz w:val="22"/>
              </w:rPr>
              <w:t>~2% growth (FY)</w:t>
            </w:r>
          </w:p>
        </w:tc>
        <w:tc>
          <w:tcPr>
            <w:tcW w:type="dxa" w:w="1234"/>
          </w:tcPr>
          <w:p>
            <w:r>
              <w:rPr>
                <w:rFonts w:ascii="Calibri" w:hAnsi="Calibri"/>
                <w:sz w:val="22"/>
              </w:rPr>
              <w:t>~In line</w:t>
            </w:r>
          </w:p>
        </w:tc>
      </w:tr>
      <w:tr>
        <w:tc>
          <w:tcPr>
            <w:tcW w:type="dxa" w:w="1234"/>
          </w:tcPr>
          <w:p>
            <w:r>
              <w:rPr>
                <w:rFonts w:ascii="Calibri" w:hAnsi="Calibri"/>
                <w:sz w:val="22"/>
              </w:rPr>
              <w:t>Interest on Client Funds ($M)</w:t>
            </w:r>
          </w:p>
        </w:tc>
        <w:tc>
          <w:tcPr>
            <w:tcW w:type="dxa" w:w="1234"/>
          </w:tcPr>
          <w:p>
            <w:r>
              <w:rPr>
                <w:rFonts w:ascii="Calibri" w:hAnsi="Calibri"/>
                <w:sz w:val="22"/>
              </w:rPr>
              <w:t>$403.9M</w:t>
            </w:r>
          </w:p>
        </w:tc>
        <w:tc>
          <w:tcPr>
            <w:tcW w:type="dxa" w:w="1234"/>
          </w:tcPr>
          <w:p>
            <w:r>
              <w:rPr>
                <w:rFonts w:ascii="Calibri" w:hAnsi="Calibri"/>
                <w:sz w:val="22"/>
              </w:rPr>
              <w:t>$307.8M</w:t>
            </w:r>
          </w:p>
        </w:tc>
        <w:tc>
          <w:tcPr>
            <w:tcW w:type="dxa" w:w="1234"/>
          </w:tcPr>
          <w:p>
            <w:r>
              <w:rPr>
                <w:rFonts w:ascii="Calibri" w:hAnsi="Calibri"/>
                <w:sz w:val="22"/>
              </w:rPr>
              <w:t>$345.2M</w:t>
            </w:r>
          </w:p>
        </w:tc>
        <w:tc>
          <w:tcPr>
            <w:tcW w:type="dxa" w:w="1234"/>
          </w:tcPr>
          <w:p>
            <w:r>
              <w:rPr>
                <w:rFonts w:ascii="Calibri" w:hAnsi="Calibri"/>
                <w:sz w:val="22"/>
              </w:rPr>
              <w:t>+12.2%</w:t>
            </w:r>
          </w:p>
        </w:tc>
        <w:tc>
          <w:tcPr>
            <w:tcW w:type="dxa" w:w="1234"/>
          </w:tcPr>
          <w:p>
            <w:r>
              <w:rPr>
                <w:rFonts w:ascii="Calibri" w:hAnsi="Calibri"/>
                <w:sz w:val="22"/>
              </w:rPr>
              <w:t>$1.340–1.350B (FY)</w:t>
            </w:r>
          </w:p>
        </w:tc>
        <w:tc>
          <w:tcPr>
            <w:tcW w:type="dxa" w:w="1234"/>
          </w:tcPr>
          <w:p>
            <w:r>
              <w:rPr>
                <w:rFonts w:ascii="Calibri" w:hAnsi="Calibri"/>
                <w:sz w:val="22"/>
              </w:rPr>
              <w:t>~In line</w:t>
            </w:r>
          </w:p>
        </w:tc>
      </w:tr>
      <w:tr>
        <w:tc>
          <w:tcPr>
            <w:tcW w:type="dxa" w:w="1234"/>
          </w:tcPr>
          <w:p>
            <w:r>
              <w:rPr>
                <w:rFonts w:ascii="Calibri" w:hAnsi="Calibri"/>
                <w:sz w:val="22"/>
              </w:rPr>
              <w:t>U.S. Pays Per Control Growth (%)</w:t>
            </w:r>
          </w:p>
        </w:tc>
        <w:tc>
          <w:tcPr>
            <w:tcW w:type="dxa" w:w="1234"/>
          </w:tcPr>
          <w:p>
            <w:r>
              <w:rPr>
                <w:rFonts w:ascii="Calibri" w:hAnsi="Calibri"/>
                <w:sz w:val="22"/>
              </w:rPr>
              <w:t>+1.0%</w:t>
            </w:r>
          </w:p>
        </w:tc>
        <w:tc>
          <w:tcPr>
            <w:tcW w:type="dxa" w:w="1234"/>
          </w:tcPr>
          <w:p>
            <w:r>
              <w:rPr>
                <w:rFonts w:ascii="Calibri" w:hAnsi="Calibri"/>
                <w:sz w:val="22"/>
              </w:rPr>
              <w:t>+0.4%</w:t>
            </w:r>
          </w:p>
        </w:tc>
        <w:tc>
          <w:tcPr>
            <w:tcW w:type="dxa" w:w="1234"/>
          </w:tcPr>
          <w:p>
            <w:r>
              <w:rPr>
                <w:rFonts w:ascii="Calibri" w:hAnsi="Calibri"/>
                <w:sz w:val="22"/>
              </w:rPr>
              <w:t>+0.88%</w:t>
            </w:r>
          </w:p>
        </w:tc>
        <w:tc>
          <w:tcPr>
            <w:tcW w:type="dxa" w:w="1234"/>
          </w:tcPr>
          <w:p>
            <w:r>
              <w:rPr>
                <w:rFonts w:ascii="Calibri" w:hAnsi="Calibri"/>
                <w:sz w:val="22"/>
              </w:rPr>
              <w:t>+0.48 pp</w:t>
            </w:r>
          </w:p>
        </w:tc>
        <w:tc>
          <w:tcPr>
            <w:tcW w:type="dxa" w:w="1234"/>
          </w:tcPr>
          <w:p>
            <w:r>
              <w:rPr>
                <w:rFonts w:ascii="Calibri" w:hAnsi="Calibri"/>
                <w:sz w:val="22"/>
              </w:rPr>
              <w:t>~1% growth (FY)</w:t>
            </w:r>
          </w:p>
        </w:tc>
        <w:tc>
          <w:tcPr>
            <w:tcW w:type="dxa" w:w="1234"/>
          </w:tcPr>
          <w:p>
            <w:r>
              <w:rPr>
                <w:rFonts w:ascii="Calibri" w:hAnsi="Calibri"/>
                <w:sz w:val="22"/>
              </w:rPr>
              <w:t>~In line</w:t>
            </w:r>
          </w:p>
        </w:tc>
      </w:tr>
    </w:tbl>
    <w:p>
      <w:r>
        <w:rPr>
          <w:rFonts w:ascii="Calibri" w:hAnsi="Calibri"/>
          <w:i/>
          <w:color w:val="525866"/>
          <w:sz w:val="22"/>
        </w:rPr>
        <w:t>Sources: Visible Alpha Consensus and Actuals Data; ADP Q3 FY2026 Earnings Release (April 29, 2026). ES new business bookings consensus is tracked on a full-year basis only (FY2026 consensus: ~$2.21B). Q4 FY2026 actuals column is blank as the quarter has not yet been reported.</w:t>
      </w:r>
    </w:p>
    <w:p>
      <w:pPr>
        <w:pStyle w:val="Heading3"/>
      </w:pPr>
      <w:r>
        <w:rPr>
          <w:rFonts w:ascii="Calibri" w:hAnsi="Calibri"/>
          <w:b/>
          <w:color w:val="3B4259"/>
          <w:sz w:val="24"/>
        </w:rPr>
        <w:t>Table 2 — Beat/Miss History (Last 8 Quarters, Top 2 KPIs: Adjusted EPS &amp; Total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 Est.</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Q3 FY2026</w:t>
            </w:r>
          </w:p>
        </w:tc>
        <w:tc>
          <w:tcPr>
            <w:tcW w:type="dxa" w:w="1440"/>
          </w:tcPr>
          <w:p>
            <w:r>
              <w:rPr>
                <w:rFonts w:ascii="Calibri" w:hAnsi="Calibri"/>
                <w:sz w:val="22"/>
              </w:rPr>
              <w:t>Adj. EPS</w:t>
            </w:r>
          </w:p>
        </w:tc>
        <w:tc>
          <w:tcPr>
            <w:tcW w:type="dxa" w:w="1440"/>
          </w:tcPr>
          <w:p>
            <w:r>
              <w:rPr>
                <w:rFonts w:ascii="Calibri" w:hAnsi="Calibri"/>
                <w:sz w:val="22"/>
              </w:rPr>
              <w:t>$3.37</w:t>
            </w:r>
          </w:p>
        </w:tc>
        <w:tc>
          <w:tcPr>
            <w:tcW w:type="dxa" w:w="1440"/>
          </w:tcPr>
          <w:p>
            <w:r>
              <w:rPr>
                <w:rFonts w:ascii="Calibri" w:hAnsi="Calibri"/>
                <w:sz w:val="22"/>
              </w:rPr>
              <w:t>$3.29</w:t>
            </w:r>
          </w:p>
        </w:tc>
        <w:tc>
          <w:tcPr>
            <w:tcW w:type="dxa" w:w="1440"/>
          </w:tcPr>
          <w:p>
            <w:r>
              <w:rPr>
                <w:rFonts w:ascii="Calibri" w:hAnsi="Calibri"/>
                <w:b/>
                <w:color w:val="30A46C"/>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Q3 FY2026</w:t>
            </w:r>
          </w:p>
        </w:tc>
        <w:tc>
          <w:tcPr>
            <w:tcW w:type="dxa" w:w="1440"/>
          </w:tcPr>
          <w:p>
            <w:r>
              <w:rPr>
                <w:rFonts w:ascii="Calibri" w:hAnsi="Calibri"/>
                <w:sz w:val="22"/>
              </w:rPr>
              <w:t>Total Revenue</w:t>
            </w:r>
          </w:p>
        </w:tc>
        <w:tc>
          <w:tcPr>
            <w:tcW w:type="dxa" w:w="1440"/>
          </w:tcPr>
          <w:p>
            <w:r>
              <w:rPr>
                <w:rFonts w:ascii="Calibri" w:hAnsi="Calibri"/>
                <w:sz w:val="22"/>
              </w:rPr>
              <w:t>$5.939B</w:t>
            </w:r>
          </w:p>
        </w:tc>
        <w:tc>
          <w:tcPr>
            <w:tcW w:type="dxa" w:w="1440"/>
          </w:tcPr>
          <w:p>
            <w:r>
              <w:rPr>
                <w:rFonts w:ascii="Calibri" w:hAnsi="Calibri"/>
                <w:sz w:val="22"/>
              </w:rPr>
              <w:t>$5.851B</w:t>
            </w:r>
          </w:p>
        </w:tc>
        <w:tc>
          <w:tcPr>
            <w:tcW w:type="dxa" w:w="1440"/>
          </w:tcPr>
          <w:p>
            <w:r>
              <w:rPr>
                <w:rFonts w:ascii="Calibri" w:hAnsi="Calibri"/>
                <w:b/>
                <w:color w:val="30A46C"/>
                <w:sz w:val="22"/>
              </w:rPr>
              <w:t>+1.5%</w:t>
            </w:r>
          </w:p>
        </w:tc>
        <w:tc>
          <w:tcPr>
            <w:tcW w:type="dxa" w:w="1440"/>
          </w:tcPr>
          <w:p>
            <w:r>
              <w:rPr>
                <w:rFonts w:ascii="Calibri" w:hAnsi="Calibri"/>
                <w:b/>
                <w:color w:val="30A46C"/>
                <w:sz w:val="22"/>
              </w:rPr>
              <w:t>Beat</w:t>
            </w:r>
          </w:p>
        </w:tc>
      </w:tr>
      <w:tr>
        <w:tc>
          <w:tcPr>
            <w:tcW w:type="dxa" w:w="1440"/>
          </w:tcPr>
          <w:p>
            <w:r>
              <w:rPr>
                <w:rFonts w:ascii="Calibri" w:hAnsi="Calibri"/>
                <w:sz w:val="22"/>
              </w:rPr>
              <w:t>Q2 FY2026</w:t>
            </w:r>
          </w:p>
        </w:tc>
        <w:tc>
          <w:tcPr>
            <w:tcW w:type="dxa" w:w="1440"/>
          </w:tcPr>
          <w:p>
            <w:r>
              <w:rPr>
                <w:rFonts w:ascii="Calibri" w:hAnsi="Calibri"/>
                <w:sz w:val="22"/>
              </w:rPr>
              <w:t>Adj. EPS</w:t>
            </w:r>
          </w:p>
        </w:tc>
        <w:tc>
          <w:tcPr>
            <w:tcW w:type="dxa" w:w="1440"/>
          </w:tcPr>
          <w:p>
            <w:r>
              <w:rPr>
                <w:rFonts w:ascii="Calibri" w:hAnsi="Calibri"/>
                <w:sz w:val="22"/>
              </w:rPr>
              <w:t>$2.62</w:t>
            </w:r>
          </w:p>
        </w:tc>
        <w:tc>
          <w:tcPr>
            <w:tcW w:type="dxa" w:w="1440"/>
          </w:tcPr>
          <w:p>
            <w:r>
              <w:rPr>
                <w:rFonts w:ascii="Calibri" w:hAnsi="Calibri"/>
                <w:sz w:val="22"/>
              </w:rPr>
              <w:t>$2.57</w:t>
            </w:r>
          </w:p>
        </w:tc>
        <w:tc>
          <w:tcPr>
            <w:tcW w:type="dxa" w:w="1440"/>
          </w:tcPr>
          <w:p>
            <w:r>
              <w:rPr>
                <w:rFonts w:ascii="Calibri" w:hAnsi="Calibri"/>
                <w:b/>
                <w:color w:val="30A46C"/>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Q2 FY2026</w:t>
            </w:r>
          </w:p>
        </w:tc>
        <w:tc>
          <w:tcPr>
            <w:tcW w:type="dxa" w:w="1440"/>
          </w:tcPr>
          <w:p>
            <w:r>
              <w:rPr>
                <w:rFonts w:ascii="Calibri" w:hAnsi="Calibri"/>
                <w:sz w:val="22"/>
              </w:rPr>
              <w:t>Total Revenue</w:t>
            </w:r>
          </w:p>
        </w:tc>
        <w:tc>
          <w:tcPr>
            <w:tcW w:type="dxa" w:w="1440"/>
          </w:tcPr>
          <w:p>
            <w:r>
              <w:rPr>
                <w:rFonts w:ascii="Calibri" w:hAnsi="Calibri"/>
                <w:sz w:val="22"/>
              </w:rPr>
              <w:t>$5.359B</w:t>
            </w:r>
          </w:p>
        </w:tc>
        <w:tc>
          <w:tcPr>
            <w:tcW w:type="dxa" w:w="1440"/>
          </w:tcPr>
          <w:p>
            <w:r>
              <w:rPr>
                <w:rFonts w:ascii="Calibri" w:hAnsi="Calibri"/>
                <w:sz w:val="22"/>
              </w:rPr>
              <w:t>$5.328B</w:t>
            </w:r>
          </w:p>
        </w:tc>
        <w:tc>
          <w:tcPr>
            <w:tcW w:type="dxa" w:w="1440"/>
          </w:tcPr>
          <w:p>
            <w:r>
              <w:rPr>
                <w:rFonts w:ascii="Calibri" w:hAnsi="Calibri"/>
                <w:b/>
                <w:color w:val="30A46C"/>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Q1 FY2026</w:t>
            </w:r>
          </w:p>
        </w:tc>
        <w:tc>
          <w:tcPr>
            <w:tcW w:type="dxa" w:w="1440"/>
          </w:tcPr>
          <w:p>
            <w:r>
              <w:rPr>
                <w:rFonts w:ascii="Calibri" w:hAnsi="Calibri"/>
                <w:sz w:val="22"/>
              </w:rPr>
              <w:t>Adj. EPS</w:t>
            </w:r>
          </w:p>
        </w:tc>
        <w:tc>
          <w:tcPr>
            <w:tcW w:type="dxa" w:w="1440"/>
          </w:tcPr>
          <w:p>
            <w:r>
              <w:rPr>
                <w:rFonts w:ascii="Calibri" w:hAnsi="Calibri"/>
                <w:sz w:val="22"/>
              </w:rPr>
              <w:t>$2.49</w:t>
            </w:r>
          </w:p>
        </w:tc>
        <w:tc>
          <w:tcPr>
            <w:tcW w:type="dxa" w:w="1440"/>
          </w:tcPr>
          <w:p>
            <w:r>
              <w:rPr>
                <w:rFonts w:ascii="Calibri" w:hAnsi="Calibri"/>
                <w:sz w:val="22"/>
              </w:rPr>
              <w:t>$2.44</w:t>
            </w:r>
          </w:p>
        </w:tc>
        <w:tc>
          <w:tcPr>
            <w:tcW w:type="dxa" w:w="1440"/>
          </w:tcPr>
          <w:p>
            <w:r>
              <w:rPr>
                <w:rFonts w:ascii="Calibri" w:hAnsi="Calibri"/>
                <w:b/>
                <w:color w:val="30A46C"/>
                <w:sz w:val="22"/>
              </w:rPr>
              <w:t>+2.1%</w:t>
            </w:r>
          </w:p>
        </w:tc>
        <w:tc>
          <w:tcPr>
            <w:tcW w:type="dxa" w:w="1440"/>
          </w:tcPr>
          <w:p>
            <w:r>
              <w:rPr>
                <w:rFonts w:ascii="Calibri" w:hAnsi="Calibri"/>
                <w:b/>
                <w:color w:val="30A46C"/>
                <w:sz w:val="22"/>
              </w:rPr>
              <w:t>Beat</w:t>
            </w:r>
          </w:p>
        </w:tc>
      </w:tr>
      <w:tr>
        <w:tc>
          <w:tcPr>
            <w:tcW w:type="dxa" w:w="1440"/>
          </w:tcPr>
          <w:p>
            <w:r>
              <w:rPr>
                <w:rFonts w:ascii="Calibri" w:hAnsi="Calibri"/>
                <w:sz w:val="22"/>
              </w:rPr>
              <w:t>Q1 FY2026</w:t>
            </w:r>
          </w:p>
        </w:tc>
        <w:tc>
          <w:tcPr>
            <w:tcW w:type="dxa" w:w="1440"/>
          </w:tcPr>
          <w:p>
            <w:r>
              <w:rPr>
                <w:rFonts w:ascii="Calibri" w:hAnsi="Calibri"/>
                <w:sz w:val="22"/>
              </w:rPr>
              <w:t>Total Revenue</w:t>
            </w:r>
          </w:p>
        </w:tc>
        <w:tc>
          <w:tcPr>
            <w:tcW w:type="dxa" w:w="1440"/>
          </w:tcPr>
          <w:p>
            <w:r>
              <w:rPr>
                <w:rFonts w:ascii="Calibri" w:hAnsi="Calibri"/>
                <w:sz w:val="22"/>
              </w:rPr>
              <w:t>$5.175B</w:t>
            </w:r>
          </w:p>
        </w:tc>
        <w:tc>
          <w:tcPr>
            <w:tcW w:type="dxa" w:w="1440"/>
          </w:tcPr>
          <w:p>
            <w:r>
              <w:rPr>
                <w:rFonts w:ascii="Calibri" w:hAnsi="Calibri"/>
                <w:sz w:val="22"/>
              </w:rPr>
              <w:t>$5.130B</w:t>
            </w:r>
          </w:p>
        </w:tc>
        <w:tc>
          <w:tcPr>
            <w:tcW w:type="dxa" w:w="1440"/>
          </w:tcPr>
          <w:p>
            <w:r>
              <w:rPr>
                <w:rFonts w:ascii="Calibri" w:hAnsi="Calibri"/>
                <w:b/>
                <w:color w:val="30A46C"/>
                <w:sz w:val="22"/>
              </w:rPr>
              <w:t>+0.9%</w:t>
            </w:r>
          </w:p>
        </w:tc>
        <w:tc>
          <w:tcPr>
            <w:tcW w:type="dxa" w:w="1440"/>
          </w:tcPr>
          <w:p>
            <w:r>
              <w:rPr>
                <w:rFonts w:ascii="Calibri" w:hAnsi="Calibri"/>
                <w:b/>
                <w:color w:val="30A46C"/>
                <w:sz w:val="22"/>
              </w:rPr>
              <w:t>Beat</w:t>
            </w:r>
          </w:p>
        </w:tc>
      </w:tr>
      <w:tr>
        <w:tc>
          <w:tcPr>
            <w:tcW w:type="dxa" w:w="1440"/>
          </w:tcPr>
          <w:p>
            <w:r>
              <w:rPr>
                <w:rFonts w:ascii="Calibri" w:hAnsi="Calibri"/>
                <w:sz w:val="22"/>
              </w:rPr>
              <w:t>Q4 FY2025</w:t>
            </w:r>
          </w:p>
        </w:tc>
        <w:tc>
          <w:tcPr>
            <w:tcW w:type="dxa" w:w="1440"/>
          </w:tcPr>
          <w:p>
            <w:r>
              <w:rPr>
                <w:rFonts w:ascii="Calibri" w:hAnsi="Calibri"/>
                <w:sz w:val="22"/>
              </w:rPr>
              <w:t>Adj. EPS</w:t>
            </w:r>
          </w:p>
        </w:tc>
        <w:tc>
          <w:tcPr>
            <w:tcW w:type="dxa" w:w="1440"/>
          </w:tcPr>
          <w:p>
            <w:r>
              <w:rPr>
                <w:rFonts w:ascii="Calibri" w:hAnsi="Calibri"/>
                <w:sz w:val="22"/>
              </w:rPr>
              <w:t>$2.26</w:t>
            </w:r>
          </w:p>
        </w:tc>
        <w:tc>
          <w:tcPr>
            <w:tcW w:type="dxa" w:w="1440"/>
          </w:tcPr>
          <w:p>
            <w:r>
              <w:rPr>
                <w:rFonts w:ascii="Calibri" w:hAnsi="Calibri"/>
                <w:sz w:val="22"/>
              </w:rPr>
              <w:t>$2.22</w:t>
            </w:r>
          </w:p>
        </w:tc>
        <w:tc>
          <w:tcPr>
            <w:tcW w:type="dxa" w:w="1440"/>
          </w:tcPr>
          <w:p>
            <w:r>
              <w:rPr>
                <w:rFonts w:ascii="Calibri" w:hAnsi="Calibri"/>
                <w:b/>
                <w:color w:val="30A46C"/>
                <w:sz w:val="22"/>
              </w:rPr>
              <w:t>+1.8%</w:t>
            </w:r>
          </w:p>
        </w:tc>
        <w:tc>
          <w:tcPr>
            <w:tcW w:type="dxa" w:w="1440"/>
          </w:tcPr>
          <w:p>
            <w:r>
              <w:rPr>
                <w:rFonts w:ascii="Calibri" w:hAnsi="Calibri"/>
                <w:b/>
                <w:color w:val="30A46C"/>
                <w:sz w:val="22"/>
              </w:rPr>
              <w:t>Beat</w:t>
            </w:r>
          </w:p>
        </w:tc>
      </w:tr>
      <w:tr>
        <w:tc>
          <w:tcPr>
            <w:tcW w:type="dxa" w:w="1440"/>
          </w:tcPr>
          <w:p>
            <w:r>
              <w:rPr>
                <w:rFonts w:ascii="Calibri" w:hAnsi="Calibri"/>
                <w:sz w:val="22"/>
              </w:rPr>
              <w:t>Q4 FY2025</w:t>
            </w:r>
          </w:p>
        </w:tc>
        <w:tc>
          <w:tcPr>
            <w:tcW w:type="dxa" w:w="1440"/>
          </w:tcPr>
          <w:p>
            <w:r>
              <w:rPr>
                <w:rFonts w:ascii="Calibri" w:hAnsi="Calibri"/>
                <w:sz w:val="22"/>
              </w:rPr>
              <w:t>Total Revenue</w:t>
            </w:r>
          </w:p>
        </w:tc>
        <w:tc>
          <w:tcPr>
            <w:tcW w:type="dxa" w:w="1440"/>
          </w:tcPr>
          <w:p>
            <w:r>
              <w:rPr>
                <w:rFonts w:ascii="Calibri" w:hAnsi="Calibri"/>
                <w:sz w:val="22"/>
              </w:rPr>
              <w:t>$5.127B</w:t>
            </w:r>
          </w:p>
        </w:tc>
        <w:tc>
          <w:tcPr>
            <w:tcW w:type="dxa" w:w="1440"/>
          </w:tcPr>
          <w:p>
            <w:r>
              <w:rPr>
                <w:rFonts w:ascii="Calibri" w:hAnsi="Calibri"/>
                <w:sz w:val="22"/>
              </w:rPr>
              <w:t>$5.033B</w:t>
            </w:r>
          </w:p>
        </w:tc>
        <w:tc>
          <w:tcPr>
            <w:tcW w:type="dxa" w:w="1440"/>
          </w:tcPr>
          <w:p>
            <w:r>
              <w:rPr>
                <w:rFonts w:ascii="Calibri" w:hAnsi="Calibri"/>
                <w:b/>
                <w:color w:val="30A46C"/>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Q3 FY2025</w:t>
            </w:r>
          </w:p>
        </w:tc>
        <w:tc>
          <w:tcPr>
            <w:tcW w:type="dxa" w:w="1440"/>
          </w:tcPr>
          <w:p>
            <w:r>
              <w:rPr>
                <w:rFonts w:ascii="Calibri" w:hAnsi="Calibri"/>
                <w:sz w:val="22"/>
              </w:rPr>
              <w:t>Adj. EPS</w:t>
            </w:r>
          </w:p>
        </w:tc>
        <w:tc>
          <w:tcPr>
            <w:tcW w:type="dxa" w:w="1440"/>
          </w:tcPr>
          <w:p>
            <w:r>
              <w:rPr>
                <w:rFonts w:ascii="Calibri" w:hAnsi="Calibri"/>
                <w:sz w:val="22"/>
              </w:rPr>
              <w:t>$3.06</w:t>
            </w:r>
          </w:p>
        </w:tc>
        <w:tc>
          <w:tcPr>
            <w:tcW w:type="dxa" w:w="1440"/>
          </w:tcPr>
          <w:p>
            <w:r>
              <w:rPr>
                <w:rFonts w:ascii="Calibri" w:hAnsi="Calibri"/>
                <w:sz w:val="22"/>
              </w:rPr>
              <w:t>$2.97</w:t>
            </w:r>
          </w:p>
        </w:tc>
        <w:tc>
          <w:tcPr>
            <w:tcW w:type="dxa" w:w="1440"/>
          </w:tcPr>
          <w:p>
            <w:r>
              <w:rPr>
                <w:rFonts w:ascii="Calibri" w:hAnsi="Calibri"/>
                <w:b/>
                <w:color w:val="30A46C"/>
                <w:sz w:val="22"/>
              </w:rPr>
              <w:t>+3.0%</w:t>
            </w:r>
          </w:p>
        </w:tc>
        <w:tc>
          <w:tcPr>
            <w:tcW w:type="dxa" w:w="1440"/>
          </w:tcPr>
          <w:p>
            <w:r>
              <w:rPr>
                <w:rFonts w:ascii="Calibri" w:hAnsi="Calibri"/>
                <w:b/>
                <w:color w:val="30A46C"/>
                <w:sz w:val="22"/>
              </w:rPr>
              <w:t>Beat</w:t>
            </w:r>
          </w:p>
        </w:tc>
      </w:tr>
      <w:tr>
        <w:tc>
          <w:tcPr>
            <w:tcW w:type="dxa" w:w="1440"/>
          </w:tcPr>
          <w:p>
            <w:r>
              <w:rPr>
                <w:rFonts w:ascii="Calibri" w:hAnsi="Calibri"/>
                <w:sz w:val="22"/>
              </w:rPr>
              <w:t>Q3 FY2025</w:t>
            </w:r>
          </w:p>
        </w:tc>
        <w:tc>
          <w:tcPr>
            <w:tcW w:type="dxa" w:w="1440"/>
          </w:tcPr>
          <w:p>
            <w:r>
              <w:rPr>
                <w:rFonts w:ascii="Calibri" w:hAnsi="Calibri"/>
                <w:sz w:val="22"/>
              </w:rPr>
              <w:t>Total Revenue</w:t>
            </w:r>
          </w:p>
        </w:tc>
        <w:tc>
          <w:tcPr>
            <w:tcW w:type="dxa" w:w="1440"/>
          </w:tcPr>
          <w:p>
            <w:r>
              <w:rPr>
                <w:rFonts w:ascii="Calibri" w:hAnsi="Calibri"/>
                <w:sz w:val="22"/>
              </w:rPr>
              <w:t>$5.553B</w:t>
            </w:r>
          </w:p>
        </w:tc>
        <w:tc>
          <w:tcPr>
            <w:tcW w:type="dxa" w:w="1440"/>
          </w:tcPr>
          <w:p>
            <w:r>
              <w:rPr>
                <w:rFonts w:ascii="Calibri" w:hAnsi="Calibri"/>
                <w:sz w:val="22"/>
              </w:rPr>
              <w:t>$5.494B</w:t>
            </w:r>
          </w:p>
        </w:tc>
        <w:tc>
          <w:tcPr>
            <w:tcW w:type="dxa" w:w="1440"/>
          </w:tcPr>
          <w:p>
            <w:r>
              <w:rPr>
                <w:rFonts w:ascii="Calibri" w:hAnsi="Calibri"/>
                <w:b/>
                <w:color w:val="30A46C"/>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Q2 FY2025</w:t>
            </w:r>
          </w:p>
        </w:tc>
        <w:tc>
          <w:tcPr>
            <w:tcW w:type="dxa" w:w="1440"/>
          </w:tcPr>
          <w:p>
            <w:r>
              <w:rPr>
                <w:rFonts w:ascii="Calibri" w:hAnsi="Calibri"/>
                <w:sz w:val="22"/>
              </w:rPr>
              <w:t>Adj. EPS</w:t>
            </w:r>
          </w:p>
        </w:tc>
        <w:tc>
          <w:tcPr>
            <w:tcW w:type="dxa" w:w="1440"/>
          </w:tcPr>
          <w:p>
            <w:r>
              <w:rPr>
                <w:rFonts w:ascii="Calibri" w:hAnsi="Calibri"/>
                <w:sz w:val="22"/>
              </w:rPr>
              <w:t>$2.36</w:t>
            </w:r>
          </w:p>
        </w:tc>
        <w:tc>
          <w:tcPr>
            <w:tcW w:type="dxa" w:w="1440"/>
          </w:tcPr>
          <w:p>
            <w:r>
              <w:rPr>
                <w:rFonts w:ascii="Calibri" w:hAnsi="Calibri"/>
                <w:sz w:val="22"/>
              </w:rPr>
              <w:t>$2.29</w:t>
            </w:r>
          </w:p>
        </w:tc>
        <w:tc>
          <w:tcPr>
            <w:tcW w:type="dxa" w:w="1440"/>
          </w:tcPr>
          <w:p>
            <w:r>
              <w:rPr>
                <w:rFonts w:ascii="Calibri" w:hAnsi="Calibri"/>
                <w:b/>
                <w:color w:val="30A46C"/>
                <w:sz w:val="22"/>
              </w:rPr>
              <w:t>+3.1%</w:t>
            </w:r>
          </w:p>
        </w:tc>
        <w:tc>
          <w:tcPr>
            <w:tcW w:type="dxa" w:w="1440"/>
          </w:tcPr>
          <w:p>
            <w:r>
              <w:rPr>
                <w:rFonts w:ascii="Calibri" w:hAnsi="Calibri"/>
                <w:b/>
                <w:color w:val="30A46C"/>
                <w:sz w:val="22"/>
              </w:rPr>
              <w:t>Beat</w:t>
            </w:r>
          </w:p>
        </w:tc>
      </w:tr>
      <w:tr>
        <w:tc>
          <w:tcPr>
            <w:tcW w:type="dxa" w:w="1440"/>
          </w:tcPr>
          <w:p>
            <w:r>
              <w:rPr>
                <w:rFonts w:ascii="Calibri" w:hAnsi="Calibri"/>
                <w:sz w:val="22"/>
              </w:rPr>
              <w:t>Q2 FY2025</w:t>
            </w:r>
          </w:p>
        </w:tc>
        <w:tc>
          <w:tcPr>
            <w:tcW w:type="dxa" w:w="1440"/>
          </w:tcPr>
          <w:p>
            <w:r>
              <w:rPr>
                <w:rFonts w:ascii="Calibri" w:hAnsi="Calibri"/>
                <w:sz w:val="22"/>
              </w:rPr>
              <w:t>Total Revenue</w:t>
            </w:r>
          </w:p>
        </w:tc>
        <w:tc>
          <w:tcPr>
            <w:tcW w:type="dxa" w:w="1440"/>
          </w:tcPr>
          <w:p>
            <w:r>
              <w:rPr>
                <w:rFonts w:ascii="Calibri" w:hAnsi="Calibri"/>
                <w:sz w:val="22"/>
              </w:rPr>
              <w:t>$5.048B</w:t>
            </w:r>
          </w:p>
        </w:tc>
        <w:tc>
          <w:tcPr>
            <w:tcW w:type="dxa" w:w="1440"/>
          </w:tcPr>
          <w:p>
            <w:r>
              <w:rPr>
                <w:rFonts w:ascii="Calibri" w:hAnsi="Calibri"/>
                <w:sz w:val="22"/>
              </w:rPr>
              <w:t>$4.965B</w:t>
            </w:r>
          </w:p>
        </w:tc>
        <w:tc>
          <w:tcPr>
            <w:tcW w:type="dxa" w:w="1440"/>
          </w:tcPr>
          <w:p>
            <w:r>
              <w:rPr>
                <w:rFonts w:ascii="Calibri" w:hAnsi="Calibri"/>
                <w:b/>
                <w:color w:val="30A46C"/>
                <w:sz w:val="22"/>
              </w:rPr>
              <w:t>+1.7%</w:t>
            </w:r>
          </w:p>
        </w:tc>
        <w:tc>
          <w:tcPr>
            <w:tcW w:type="dxa" w:w="1440"/>
          </w:tcPr>
          <w:p>
            <w:r>
              <w:rPr>
                <w:rFonts w:ascii="Calibri" w:hAnsi="Calibri"/>
                <w:b/>
                <w:color w:val="30A46C"/>
                <w:sz w:val="22"/>
              </w:rPr>
              <w:t>Beat</w:t>
            </w:r>
          </w:p>
        </w:tc>
      </w:tr>
      <w:tr>
        <w:tc>
          <w:tcPr>
            <w:tcW w:type="dxa" w:w="1440"/>
          </w:tcPr>
          <w:p>
            <w:r>
              <w:rPr>
                <w:rFonts w:ascii="Calibri" w:hAnsi="Calibri"/>
                <w:sz w:val="22"/>
              </w:rPr>
              <w:t>Q1 FY2025</w:t>
            </w:r>
          </w:p>
        </w:tc>
        <w:tc>
          <w:tcPr>
            <w:tcW w:type="dxa" w:w="1440"/>
          </w:tcPr>
          <w:p>
            <w:r>
              <w:rPr>
                <w:rFonts w:ascii="Calibri" w:hAnsi="Calibri"/>
                <w:sz w:val="22"/>
              </w:rPr>
              <w:t>Adj. EPS</w:t>
            </w:r>
          </w:p>
        </w:tc>
        <w:tc>
          <w:tcPr>
            <w:tcW w:type="dxa" w:w="1440"/>
          </w:tcPr>
          <w:p>
            <w:r>
              <w:rPr>
                <w:rFonts w:ascii="Calibri" w:hAnsi="Calibri"/>
                <w:sz w:val="22"/>
              </w:rPr>
              <w:t>$2.33</w:t>
            </w:r>
          </w:p>
        </w:tc>
        <w:tc>
          <w:tcPr>
            <w:tcW w:type="dxa" w:w="1440"/>
          </w:tcPr>
          <w:p>
            <w:r>
              <w:rPr>
                <w:rFonts w:ascii="Calibri" w:hAnsi="Calibri"/>
                <w:sz w:val="22"/>
              </w:rPr>
              <w:t>$2.21</w:t>
            </w:r>
          </w:p>
        </w:tc>
        <w:tc>
          <w:tcPr>
            <w:tcW w:type="dxa" w:w="1440"/>
          </w:tcPr>
          <w:p>
            <w:r>
              <w:rPr>
                <w:rFonts w:ascii="Calibri" w:hAnsi="Calibri"/>
                <w:b/>
                <w:color w:val="30A46C"/>
                <w:sz w:val="22"/>
              </w:rPr>
              <w:t>+5.4%</w:t>
            </w:r>
          </w:p>
        </w:tc>
        <w:tc>
          <w:tcPr>
            <w:tcW w:type="dxa" w:w="1440"/>
          </w:tcPr>
          <w:p>
            <w:r>
              <w:rPr>
                <w:rFonts w:ascii="Calibri" w:hAnsi="Calibri"/>
                <w:b/>
                <w:color w:val="30A46C"/>
                <w:sz w:val="22"/>
              </w:rPr>
              <w:t>Beat</w:t>
            </w:r>
          </w:p>
        </w:tc>
      </w:tr>
      <w:tr>
        <w:tc>
          <w:tcPr>
            <w:tcW w:type="dxa" w:w="1440"/>
          </w:tcPr>
          <w:p>
            <w:r>
              <w:rPr>
                <w:rFonts w:ascii="Calibri" w:hAnsi="Calibri"/>
                <w:sz w:val="22"/>
              </w:rPr>
              <w:t>Q1 FY2025</w:t>
            </w:r>
          </w:p>
        </w:tc>
        <w:tc>
          <w:tcPr>
            <w:tcW w:type="dxa" w:w="1440"/>
          </w:tcPr>
          <w:p>
            <w:r>
              <w:rPr>
                <w:rFonts w:ascii="Calibri" w:hAnsi="Calibri"/>
                <w:sz w:val="22"/>
              </w:rPr>
              <w:t>Total Revenue</w:t>
            </w:r>
          </w:p>
        </w:tc>
        <w:tc>
          <w:tcPr>
            <w:tcW w:type="dxa" w:w="1440"/>
          </w:tcPr>
          <w:p>
            <w:r>
              <w:rPr>
                <w:rFonts w:ascii="Calibri" w:hAnsi="Calibri"/>
                <w:sz w:val="22"/>
              </w:rPr>
              <w:t>$4.833B</w:t>
            </w:r>
          </w:p>
        </w:tc>
        <w:tc>
          <w:tcPr>
            <w:tcW w:type="dxa" w:w="1440"/>
          </w:tcPr>
          <w:p>
            <w:r>
              <w:rPr>
                <w:rFonts w:ascii="Calibri" w:hAnsi="Calibri"/>
                <w:sz w:val="22"/>
              </w:rPr>
              <w:t>$4.766B</w:t>
            </w:r>
          </w:p>
        </w:tc>
        <w:tc>
          <w:tcPr>
            <w:tcW w:type="dxa" w:w="1440"/>
          </w:tcPr>
          <w:p>
            <w:r>
              <w:rPr>
                <w:rFonts w:ascii="Calibri" w:hAnsi="Calibri"/>
                <w:b/>
                <w:color w:val="30A46C"/>
                <w:sz w:val="22"/>
              </w:rPr>
              <w:t>+1.4%</w:t>
            </w:r>
          </w:p>
        </w:tc>
        <w:tc>
          <w:tcPr>
            <w:tcW w:type="dxa" w:w="1440"/>
          </w:tcPr>
          <w:p>
            <w:r>
              <w:rPr>
                <w:rFonts w:ascii="Calibri" w:hAnsi="Calibri"/>
                <w:b/>
                <w:color w:val="30A46C"/>
                <w:sz w:val="22"/>
              </w:rPr>
              <w:t>Beat</w:t>
            </w:r>
          </w:p>
        </w:tc>
      </w:tr>
    </w:tbl>
    <w:p>
      <w:r>
        <w:rPr>
          <w:rFonts w:ascii="Calibri" w:hAnsi="Calibri"/>
          <w:i/>
          <w:color w:val="525866"/>
          <w:sz w:val="22"/>
        </w:rPr>
        <w:t>ADP has beaten consensus on both adjusted EPS and total revenue in each of the last 8 reported quarters, with EPS beats ranging from +1.8% to +5.4% and revenue beats consistently in the +0.6% to +1.9% range — a remarkably consistent pattern that sets a high bar for Q4.</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guidance across all three headline metrics on April 29 (Q3 earnings) and has not issued any subsequent revisions; tone is the most confident in several quarters, anchored by record retention, AI-driven margin gains, and healthy Q4 pipelines. </w:t>
      </w:r>
      <w:r>
        <w:rPr>
          <w:rFonts w:ascii="Calibri" w:hAnsi="Calibri"/>
          <w:b/>
          <w:color w:val="525866"/>
          <w:sz w:val="22"/>
        </w:rPr>
        <w:t>No post-earnings guidance changes have been filed.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(Q3 FY2026 Earnings Call, Apr 29,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Consolidated Revenue Growth (FY2026)</w:t>
            </w:r>
          </w:p>
        </w:tc>
        <w:tc>
          <w:tcPr>
            <w:tcW w:type="dxa" w:w="1728"/>
          </w:tcPr>
          <w:p>
            <w:r>
              <w:rPr>
                <w:rFonts w:ascii="Calibri" w:hAnsi="Calibri"/>
                <w:sz w:val="22"/>
              </w:rPr>
              <w:t>6–7%</w:t>
            </w:r>
          </w:p>
        </w:tc>
        <w:tc>
          <w:tcPr>
            <w:tcW w:type="dxa" w:w="1728"/>
          </w:tcPr>
          <w:p>
            <w:r>
              <w:rPr>
                <w:rFonts w:ascii="Calibri" w:hAnsi="Calibri"/>
                <w:sz w:val="22"/>
              </w:rPr>
              <w:t>—</w:t>
            </w:r>
          </w:p>
        </w:tc>
        <w:tc>
          <w:tcPr>
            <w:tcW w:type="dxa" w:w="1728"/>
          </w:tcPr>
          <w:p>
            <w:r>
              <w:rPr>
                <w:rFonts w:ascii="Calibri" w:hAnsi="Calibri"/>
                <w:sz w:val="22"/>
              </w:rPr>
              <w:t>~6.2% (FY)</w:t>
            </w:r>
          </w:p>
        </w:tc>
        <w:tc>
          <w:tcPr>
            <w:tcW w:type="dxa" w:w="1728"/>
          </w:tcPr>
          <w:p>
            <w:r>
              <w:rPr>
                <w:rFonts w:ascii="Calibri" w:hAnsi="Calibri"/>
                <w:sz w:val="22"/>
              </w:rPr>
              <w:t>Raised from 5–6% at Q2; no post-Q3 change</w:t>
            </w:r>
          </w:p>
        </w:tc>
      </w:tr>
      <w:tr>
        <w:tc>
          <w:tcPr>
            <w:tcW w:type="dxa" w:w="1728"/>
          </w:tcPr>
          <w:p>
            <w:r>
              <w:rPr>
                <w:rFonts w:ascii="Calibri" w:hAnsi="Calibri"/>
                <w:sz w:val="22"/>
              </w:rPr>
              <w:t>ES Revenue Growth (FY2026)</w:t>
            </w:r>
          </w:p>
        </w:tc>
        <w:tc>
          <w:tcPr>
            <w:tcW w:type="dxa" w:w="1728"/>
          </w:tcPr>
          <w:p>
            <w:r>
              <w:rPr>
                <w:rFonts w:ascii="Calibri" w:hAnsi="Calibri"/>
                <w:sz w:val="22"/>
              </w:rPr>
              <w:t>6–7%</w:t>
            </w:r>
          </w:p>
        </w:tc>
        <w:tc>
          <w:tcPr>
            <w:tcW w:type="dxa" w:w="1728"/>
          </w:tcPr>
          <w:p>
            <w:r>
              <w:rPr>
                <w:rFonts w:ascii="Calibri" w:hAnsi="Calibri"/>
                <w:sz w:val="22"/>
              </w:rPr>
              <w:t>—</w:t>
            </w:r>
          </w:p>
        </w:tc>
        <w:tc>
          <w:tcPr>
            <w:tcW w:type="dxa" w:w="1728"/>
          </w:tcPr>
          <w:p>
            <w:r>
              <w:rPr>
                <w:rFonts w:ascii="Calibri" w:hAnsi="Calibri"/>
                <w:sz w:val="22"/>
              </w:rPr>
              <w:t>~6.2% (FY)</w:t>
            </w:r>
          </w:p>
        </w:tc>
        <w:tc>
          <w:tcPr>
            <w:tcW w:type="dxa" w:w="1728"/>
          </w:tcPr>
          <w:p>
            <w:r>
              <w:rPr>
                <w:rFonts w:ascii="Calibri" w:hAnsi="Calibri"/>
                <w:sz w:val="22"/>
              </w:rPr>
              <w:t>Raised from 5–6% at Q2; no post-Q3 change</w:t>
            </w:r>
          </w:p>
        </w:tc>
      </w:tr>
      <w:tr>
        <w:tc>
          <w:tcPr>
            <w:tcW w:type="dxa" w:w="1728"/>
          </w:tcPr>
          <w:p>
            <w:r>
              <w:rPr>
                <w:rFonts w:ascii="Calibri" w:hAnsi="Calibri"/>
                <w:sz w:val="22"/>
              </w:rPr>
              <w:t>PEO Revenue Growth (FY2026)</w:t>
            </w:r>
          </w:p>
        </w:tc>
        <w:tc>
          <w:tcPr>
            <w:tcW w:type="dxa" w:w="1728"/>
          </w:tcPr>
          <w:p>
            <w:r>
              <w:rPr>
                <w:rFonts w:ascii="Calibri" w:hAnsi="Calibri"/>
                <w:sz w:val="22"/>
              </w:rPr>
              <w:t>6–7%</w:t>
            </w:r>
          </w:p>
        </w:tc>
        <w:tc>
          <w:tcPr>
            <w:tcW w:type="dxa" w:w="1728"/>
          </w:tcPr>
          <w:p>
            <w:r>
              <w:rPr>
                <w:rFonts w:ascii="Calibri" w:hAnsi="Calibri"/>
                <w:sz w:val="22"/>
              </w:rPr>
              <w:t>—</w:t>
            </w:r>
          </w:p>
        </w:tc>
        <w:tc>
          <w:tcPr>
            <w:tcW w:type="dxa" w:w="1728"/>
          </w:tcPr>
          <w:p>
            <w:r>
              <w:rPr>
                <w:rFonts w:ascii="Calibri" w:hAnsi="Calibri"/>
                <w:sz w:val="22"/>
              </w:rPr>
              <w:t>~6.3% (FY)</w:t>
            </w:r>
          </w:p>
        </w:tc>
        <w:tc>
          <w:tcPr>
            <w:tcW w:type="dxa" w:w="1728"/>
          </w:tcPr>
          <w:p>
            <w:r>
              <w:rPr>
                <w:rFonts w:ascii="Calibri" w:hAnsi="Calibri"/>
                <w:sz w:val="22"/>
              </w:rPr>
              <w:t>Raised from prior range; no post-Q3 change</w:t>
            </w:r>
          </w:p>
        </w:tc>
      </w:tr>
      <w:tr>
        <w:tc>
          <w:tcPr>
            <w:tcW w:type="dxa" w:w="1728"/>
          </w:tcPr>
          <w:p>
            <w:r>
              <w:rPr>
                <w:rFonts w:ascii="Calibri" w:hAnsi="Calibri"/>
                <w:sz w:val="22"/>
              </w:rPr>
              <w:t>Adjusted EPS Growth (FY2026)</w:t>
            </w:r>
          </w:p>
        </w:tc>
        <w:tc>
          <w:tcPr>
            <w:tcW w:type="dxa" w:w="1728"/>
          </w:tcPr>
          <w:p>
            <w:r>
              <w:rPr>
                <w:rFonts w:ascii="Calibri" w:hAnsi="Calibri"/>
                <w:sz w:val="22"/>
              </w:rPr>
              <w:t>10–11%</w:t>
            </w:r>
          </w:p>
        </w:tc>
        <w:tc>
          <w:tcPr>
            <w:tcW w:type="dxa" w:w="1728"/>
          </w:tcPr>
          <w:p>
            <w:r>
              <w:rPr>
                <w:rFonts w:ascii="Calibri" w:hAnsi="Calibri"/>
                <w:sz w:val="22"/>
              </w:rPr>
              <w:t>—</w:t>
            </w:r>
          </w:p>
        </w:tc>
        <w:tc>
          <w:tcPr>
            <w:tcW w:type="dxa" w:w="1728"/>
          </w:tcPr>
          <w:p>
            <w:r>
              <w:rPr>
                <w:rFonts w:ascii="Calibri" w:hAnsi="Calibri"/>
                <w:sz w:val="22"/>
              </w:rPr>
              <w:t>~10.6% (FY)</w:t>
            </w:r>
          </w:p>
        </w:tc>
        <w:tc>
          <w:tcPr>
            <w:tcW w:type="dxa" w:w="1728"/>
          </w:tcPr>
          <w:p>
            <w:r>
              <w:rPr>
                <w:rFonts w:ascii="Calibri" w:hAnsi="Calibri"/>
                <w:sz w:val="22"/>
              </w:rPr>
              <w:t>Raised from 8–10% at Q2; no post-Q3 change</w:t>
            </w:r>
          </w:p>
        </w:tc>
      </w:tr>
      <w:tr>
        <w:tc>
          <w:tcPr>
            <w:tcW w:type="dxa" w:w="1728"/>
          </w:tcPr>
          <w:p>
            <w:r>
              <w:rPr>
                <w:rFonts w:ascii="Calibri" w:hAnsi="Calibri"/>
                <w:sz w:val="22"/>
              </w:rPr>
              <w:t>Adjusted EBIT Margin Expansion (FY2026)</w:t>
            </w:r>
          </w:p>
        </w:tc>
        <w:tc>
          <w:tcPr>
            <w:tcW w:type="dxa" w:w="1728"/>
          </w:tcPr>
          <w:p>
            <w:r>
              <w:rPr>
                <w:rFonts w:ascii="Calibri" w:hAnsi="Calibri"/>
                <w:sz w:val="22"/>
              </w:rPr>
              <w:t>70–80 bps</w:t>
            </w:r>
          </w:p>
        </w:tc>
        <w:tc>
          <w:tcPr>
            <w:tcW w:type="dxa" w:w="1728"/>
          </w:tcPr>
          <w:p>
            <w:r>
              <w:rPr>
                <w:rFonts w:ascii="Calibri" w:hAnsi="Calibri"/>
                <w:sz w:val="22"/>
              </w:rPr>
              <w:t>—</w:t>
            </w:r>
          </w:p>
        </w:tc>
        <w:tc>
          <w:tcPr>
            <w:tcW w:type="dxa" w:w="1728"/>
          </w:tcPr>
          <w:p>
            <w:r>
              <w:rPr>
                <w:rFonts w:ascii="Calibri" w:hAnsi="Calibri"/>
                <w:sz w:val="22"/>
              </w:rPr>
              <w:t>~75 bps (FY, implied)</w:t>
            </w:r>
          </w:p>
        </w:tc>
        <w:tc>
          <w:tcPr>
            <w:tcW w:type="dxa" w:w="1728"/>
          </w:tcPr>
          <w:p>
            <w:r>
              <w:rPr>
                <w:rFonts w:ascii="Calibri" w:hAnsi="Calibri"/>
                <w:sz w:val="22"/>
              </w:rPr>
              <w:t>Raised from prior range; no post-Q3 change</w:t>
            </w:r>
          </w:p>
        </w:tc>
      </w:tr>
      <w:tr>
        <w:tc>
          <w:tcPr>
            <w:tcW w:type="dxa" w:w="1728"/>
          </w:tcPr>
          <w:p>
            <w:r>
              <w:rPr>
                <w:rFonts w:ascii="Calibri" w:hAnsi="Calibri"/>
                <w:sz w:val="22"/>
              </w:rPr>
              <w:t>ES New Business Bookings Growth (FY2026)</w:t>
            </w:r>
          </w:p>
        </w:tc>
        <w:tc>
          <w:tcPr>
            <w:tcW w:type="dxa" w:w="1728"/>
          </w:tcPr>
          <w:p>
            <w:r>
              <w:rPr>
                <w:rFonts w:ascii="Calibri" w:hAnsi="Calibri"/>
                <w:sz w:val="22"/>
              </w:rPr>
              <w:t>4–7%</w:t>
            </w:r>
          </w:p>
        </w:tc>
        <w:tc>
          <w:tcPr>
            <w:tcW w:type="dxa" w:w="1728"/>
          </w:tcPr>
          <w:p>
            <w:r>
              <w:rPr>
                <w:rFonts w:ascii="Calibri" w:hAnsi="Calibri"/>
                <w:sz w:val="22"/>
              </w:rPr>
              <w:t>—</w:t>
            </w:r>
          </w:p>
        </w:tc>
        <w:tc>
          <w:tcPr>
            <w:tcW w:type="dxa" w:w="1728"/>
          </w:tcPr>
          <w:p>
            <w:r>
              <w:rPr>
                <w:rFonts w:ascii="Calibri" w:hAnsi="Calibri"/>
                <w:sz w:val="22"/>
              </w:rPr>
              <w:t>N/A — FY only tracked</w:t>
            </w:r>
          </w:p>
        </w:tc>
        <w:tc>
          <w:tcPr>
            <w:tcW w:type="dxa" w:w="1728"/>
          </w:tcPr>
          <w:p>
            <w:r>
              <w:rPr>
                <w:rFonts w:ascii="Calibri" w:hAnsi="Calibri"/>
                <w:sz w:val="22"/>
              </w:rPr>
              <w:t>Maintained; Q4 is largest bookings quarter; prior year Q4 had modest shortfall</w:t>
            </w:r>
          </w:p>
        </w:tc>
      </w:tr>
      <w:tr>
        <w:tc>
          <w:tcPr>
            <w:tcW w:type="dxa" w:w="1728"/>
          </w:tcPr>
          <w:p>
            <w:r>
              <w:rPr>
                <w:rFonts w:ascii="Calibri" w:hAnsi="Calibri"/>
                <w:sz w:val="22"/>
              </w:rPr>
              <w:t>ES Client Revenue Retention (FY2026)</w:t>
            </w:r>
          </w:p>
        </w:tc>
        <w:tc>
          <w:tcPr>
            <w:tcW w:type="dxa" w:w="1728"/>
          </w:tcPr>
          <w:p>
            <w:r>
              <w:rPr>
                <w:rFonts w:ascii="Calibri" w:hAnsi="Calibri"/>
                <w:sz w:val="22"/>
              </w:rPr>
              <w:t>Flat to -20 bps</w:t>
            </w:r>
          </w:p>
        </w:tc>
        <w:tc>
          <w:tcPr>
            <w:tcW w:type="dxa" w:w="1728"/>
          </w:tcPr>
          <w:p>
            <w:r>
              <w:rPr>
                <w:rFonts w:ascii="Calibri" w:hAnsi="Calibri"/>
                <w:sz w:val="22"/>
              </w:rPr>
              <w:t>—</w:t>
            </w:r>
          </w:p>
        </w:tc>
        <w:tc>
          <w:tcPr>
            <w:tcW w:type="dxa" w:w="1728"/>
          </w:tcPr>
          <w:p>
            <w:r>
              <w:rPr>
                <w:rFonts w:ascii="Calibri" w:hAnsi="Calibri"/>
                <w:sz w:val="22"/>
              </w:rPr>
              <w:t>91.03% (Q4 est.)</w:t>
            </w:r>
          </w:p>
        </w:tc>
        <w:tc>
          <w:tcPr>
            <w:tcW w:type="dxa" w:w="1728"/>
          </w:tcPr>
          <w:p>
            <w:r>
              <w:rPr>
                <w:rFonts w:ascii="Calibri" w:hAnsi="Calibri"/>
                <w:sz w:val="22"/>
              </w:rPr>
              <w:t>Improved by 10 bps at Q3 (was flat to -30 bps); record Q3 retention</w:t>
            </w:r>
          </w:p>
        </w:tc>
      </w:tr>
      <w:tr>
        <w:tc>
          <w:tcPr>
            <w:tcW w:type="dxa" w:w="1728"/>
          </w:tcPr>
          <w:p>
            <w:r>
              <w:rPr>
                <w:rFonts w:ascii="Calibri" w:hAnsi="Calibri"/>
                <w:sz w:val="22"/>
              </w:rPr>
              <w:t>PEO Avg. Worksite Employee Growth (FY2026)</w:t>
            </w:r>
          </w:p>
        </w:tc>
        <w:tc>
          <w:tcPr>
            <w:tcW w:type="dxa" w:w="1728"/>
          </w:tcPr>
          <w:p>
            <w:r>
              <w:rPr>
                <w:rFonts w:ascii="Calibri" w:hAnsi="Calibri"/>
                <w:sz w:val="22"/>
              </w:rPr>
              <w:t>~2%</w:t>
            </w:r>
          </w:p>
        </w:tc>
        <w:tc>
          <w:tcPr>
            <w:tcW w:type="dxa" w:w="1728"/>
          </w:tcPr>
          <w:p>
            <w:r>
              <w:rPr>
                <w:rFonts w:ascii="Calibri" w:hAnsi="Calibri"/>
                <w:sz w:val="22"/>
              </w:rPr>
              <w:t>—</w:t>
            </w:r>
          </w:p>
        </w:tc>
        <w:tc>
          <w:tcPr>
            <w:tcW w:type="dxa" w:w="1728"/>
          </w:tcPr>
          <w:p>
            <w:r>
              <w:rPr>
                <w:rFonts w:ascii="Calibri" w:hAnsi="Calibri"/>
                <w:sz w:val="22"/>
              </w:rPr>
              <w:t>~775,544 (Q4 est.)</w:t>
            </w:r>
          </w:p>
        </w:tc>
        <w:tc>
          <w:tcPr>
            <w:tcW w:type="dxa" w:w="1728"/>
          </w:tcPr>
          <w:p>
            <w:r>
              <w:rPr>
                <w:rFonts w:ascii="Calibri" w:hAnsi="Calibri"/>
                <w:sz w:val="22"/>
              </w:rPr>
              <w:t>Maintained; PEO stabilized in Q3 after Q2 concerns</w:t>
            </w:r>
          </w:p>
        </w:tc>
      </w:tr>
      <w:tr>
        <w:tc>
          <w:tcPr>
            <w:tcW w:type="dxa" w:w="1728"/>
          </w:tcPr>
          <w:p>
            <w:r>
              <w:rPr>
                <w:rFonts w:ascii="Calibri" w:hAnsi="Calibri"/>
                <w:sz w:val="22"/>
              </w:rPr>
              <w:t>Interest on Client Funds (FY2026)</w:t>
            </w:r>
          </w:p>
        </w:tc>
        <w:tc>
          <w:tcPr>
            <w:tcW w:type="dxa" w:w="1728"/>
          </w:tcPr>
          <w:p>
            <w:r>
              <w:rPr>
                <w:rFonts w:ascii="Calibri" w:hAnsi="Calibri"/>
                <w:sz w:val="22"/>
              </w:rPr>
              <w:t>$1.340–1.350B</w:t>
            </w:r>
          </w:p>
        </w:tc>
        <w:tc>
          <w:tcPr>
            <w:tcW w:type="dxa" w:w="1728"/>
          </w:tcPr>
          <w:p>
            <w:r>
              <w:rPr>
                <w:rFonts w:ascii="Calibri" w:hAnsi="Calibri"/>
                <w:sz w:val="22"/>
              </w:rPr>
              <w:t>—</w:t>
            </w:r>
          </w:p>
        </w:tc>
        <w:tc>
          <w:tcPr>
            <w:tcW w:type="dxa" w:w="1728"/>
          </w:tcPr>
          <w:p>
            <w:r>
              <w:rPr>
                <w:rFonts w:ascii="Calibri" w:hAnsi="Calibri"/>
                <w:sz w:val="22"/>
              </w:rPr>
              <w:t>$1.344B (FY est.)</w:t>
            </w:r>
          </w:p>
        </w:tc>
        <w:tc>
          <w:tcPr>
            <w:tcW w:type="dxa" w:w="1728"/>
          </w:tcPr>
          <w:p>
            <w:r>
              <w:rPr>
                <w:rFonts w:ascii="Calibri" w:hAnsi="Calibri"/>
                <w:sz w:val="22"/>
              </w:rPr>
              <w:t>Raised midpoint by $25M at Q3; avg. yield ~3.4%, balance growth ~6%</w:t>
            </w:r>
          </w:p>
        </w:tc>
      </w:tr>
      <w:tr>
        <w:tc>
          <w:tcPr>
            <w:tcW w:type="dxa" w:w="1728"/>
          </w:tcPr>
          <w:p>
            <w:r>
              <w:rPr>
                <w:rFonts w:ascii="Calibri" w:hAnsi="Calibri"/>
                <w:sz w:val="22"/>
              </w:rPr>
              <w:t>U.S. Pays Per Control Growth (FY2026)</w:t>
            </w:r>
          </w:p>
        </w:tc>
        <w:tc>
          <w:tcPr>
            <w:tcW w:type="dxa" w:w="1728"/>
          </w:tcPr>
          <w:p>
            <w:r>
              <w:rPr>
                <w:rFonts w:ascii="Calibri" w:hAnsi="Calibri"/>
                <w:sz w:val="22"/>
              </w:rPr>
              <w:t>~1%</w:t>
            </w:r>
          </w:p>
        </w:tc>
        <w:tc>
          <w:tcPr>
            <w:tcW w:type="dxa" w:w="1728"/>
          </w:tcPr>
          <w:p>
            <w:r>
              <w:rPr>
                <w:rFonts w:ascii="Calibri" w:hAnsi="Calibri"/>
                <w:sz w:val="22"/>
              </w:rPr>
              <w:t>—</w:t>
            </w:r>
          </w:p>
        </w:tc>
        <w:tc>
          <w:tcPr>
            <w:tcW w:type="dxa" w:w="1728"/>
          </w:tcPr>
          <w:p>
            <w:r>
              <w:rPr>
                <w:rFonts w:ascii="Calibri" w:hAnsi="Calibri"/>
                <w:sz w:val="22"/>
              </w:rPr>
              <w:t>~0.88% (Q4 est.)</w:t>
            </w:r>
          </w:p>
        </w:tc>
        <w:tc>
          <w:tcPr>
            <w:tcW w:type="dxa" w:w="1728"/>
          </w:tcPr>
          <w:p>
            <w:r>
              <w:rPr>
                <w:rFonts w:ascii="Calibri" w:hAnsi="Calibri"/>
                <w:sz w:val="22"/>
              </w:rPr>
              <w:t>Maintained; labor market softness in grey-collar segments noted</w:t>
            </w:r>
          </w:p>
        </w:tc>
      </w:tr>
    </w:tbl>
    <w:p>
      <w:r>
        <w:rPr>
          <w:rFonts w:ascii="Calibri" w:hAnsi="Calibri"/>
          <w:i/>
          <w:color w:val="525866"/>
          <w:sz w:val="22"/>
        </w:rPr>
        <w:t>Source: ADP Q3 FY2026 Earnings Call Transcript (April 29, 2026); ADP Q3 FY2026 Earnings Release (April 29, 2026); Visible Alpha Consensus Data.</w:t>
      </w:r>
    </w:p>
    <w:p>
      <w:r>
        <w:rPr>
          <w:rFonts w:ascii="Calibri" w:hAnsi="Calibri"/>
          <w:b/>
          <w:color w:val="525866"/>
          <w:sz w:val="22"/>
        </w:rPr>
        <w:t xml:space="preserve">Additional Q4 color from the Q3 call: </w:t>
      </w:r>
      <w:r>
        <w:rPr>
          <w:rFonts w:ascii="Calibri" w:hAnsi="Calibri"/>
          <w:color w:val="525866"/>
          <w:sz w:val="22"/>
        </w:rPr>
        <w:t>Management flagged that FX tailwind in ES (1.5+ pts in Q3) is expected to moderate in Q4, which will be a slight revenue headwind but a margin tailwind. Pricing contribution for FY2026 is now tracking at ~130 bps vs. the original ~100 bps goal — a positive surprise. Share repurchases are expected to continue at or above elevated levels through FY2027.</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flat since the Q3 beat — the street has absorbed the raised guide with minimal incremental revision, suggesting consensus is tracking guidance tightly with no meaningful divergence. </w:t>
      </w:r>
      <w:r>
        <w:rPr>
          <w:rFonts w:ascii="Calibri" w:hAnsi="Calibri"/>
          <w:b/>
          <w:color w:val="525866"/>
          <w:sz w:val="22"/>
        </w:rPr>
        <w:t>The lack of upward drift post-Q3 means there is no estimate cushion built in, but also no elevated bar from over-optimism.</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Q3 Earnings (as of May 6,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(Q3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Total Revenue — Q4 FY2026</w:t>
            </w:r>
          </w:p>
        </w:tc>
        <w:tc>
          <w:tcPr>
            <w:tcW w:type="dxa" w:w="1080"/>
          </w:tcPr>
          <w:p>
            <w:r>
              <w:rPr>
                <w:rFonts w:ascii="Calibri" w:hAnsi="Calibri"/>
                <w:sz w:val="22"/>
              </w:rPr>
              <w:t>$5.436B</w:t>
            </w:r>
          </w:p>
        </w:tc>
        <w:tc>
          <w:tcPr>
            <w:tcW w:type="dxa" w:w="1080"/>
          </w:tcPr>
          <w:p>
            <w:r>
              <w:rPr>
                <w:rFonts w:ascii="Calibri" w:hAnsi="Calibri"/>
                <w:sz w:val="22"/>
              </w:rPr>
              <w:t>$5.438B</w:t>
            </w:r>
          </w:p>
        </w:tc>
        <w:tc>
          <w:tcPr>
            <w:tcW w:type="dxa" w:w="1080"/>
          </w:tcPr>
          <w:p>
            <w:r>
              <w:rPr>
                <w:rFonts w:ascii="Calibri" w:hAnsi="Calibri"/>
                <w:sz w:val="22"/>
              </w:rPr>
              <w:t>+0.0%</w:t>
            </w:r>
          </w:p>
        </w:tc>
        <w:tc>
          <w:tcPr>
            <w:tcW w:type="dxa" w:w="1080"/>
          </w:tcPr>
          <w:p>
            <w:r>
              <w:rPr>
                <w:rFonts w:ascii="Calibri" w:hAnsi="Calibri"/>
                <w:sz w:val="22"/>
              </w:rPr>
              <w:t>6–7% FY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Total Revenue — FY2026</w:t>
            </w:r>
          </w:p>
        </w:tc>
        <w:tc>
          <w:tcPr>
            <w:tcW w:type="dxa" w:w="1080"/>
          </w:tcPr>
          <w:p>
            <w:r>
              <w:rPr>
                <w:rFonts w:ascii="Calibri" w:hAnsi="Calibri"/>
                <w:sz w:val="22"/>
              </w:rPr>
              <w:t>$21.909B</w:t>
            </w:r>
          </w:p>
        </w:tc>
        <w:tc>
          <w:tcPr>
            <w:tcW w:type="dxa" w:w="1080"/>
          </w:tcPr>
          <w:p>
            <w:r>
              <w:rPr>
                <w:rFonts w:ascii="Calibri" w:hAnsi="Calibri"/>
                <w:sz w:val="22"/>
              </w:rPr>
              <w:t>$21.912B</w:t>
            </w:r>
          </w:p>
        </w:tc>
        <w:tc>
          <w:tcPr>
            <w:tcW w:type="dxa" w:w="1080"/>
          </w:tcPr>
          <w:p>
            <w:r>
              <w:rPr>
                <w:rFonts w:ascii="Calibri" w:hAnsi="Calibri"/>
                <w:sz w:val="22"/>
              </w:rPr>
              <w:t>+0.0%</w:t>
            </w:r>
          </w:p>
        </w:tc>
        <w:tc>
          <w:tcPr>
            <w:tcW w:type="dxa" w:w="1080"/>
          </w:tcPr>
          <w:p>
            <w:r>
              <w:rPr>
                <w:rFonts w:ascii="Calibri" w:hAnsi="Calibri"/>
                <w:sz w:val="22"/>
              </w:rPr>
              <w:t>6–7%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Q4 FY2026</w:t>
            </w:r>
          </w:p>
        </w:tc>
        <w:tc>
          <w:tcPr>
            <w:tcW w:type="dxa" w:w="1080"/>
          </w:tcPr>
          <w:p>
            <w:r>
              <w:rPr>
                <w:rFonts w:ascii="Calibri" w:hAnsi="Calibri"/>
                <w:sz w:val="22"/>
              </w:rPr>
              <w:t>$2.592</w:t>
            </w:r>
          </w:p>
        </w:tc>
        <w:tc>
          <w:tcPr>
            <w:tcW w:type="dxa" w:w="1080"/>
          </w:tcPr>
          <w:p>
            <w:r>
              <w:rPr>
                <w:rFonts w:ascii="Calibri" w:hAnsi="Calibri"/>
                <w:sz w:val="22"/>
              </w:rPr>
              <w:t>$2.592</w:t>
            </w:r>
          </w:p>
        </w:tc>
        <w:tc>
          <w:tcPr>
            <w:tcW w:type="dxa" w:w="1080"/>
          </w:tcPr>
          <w:p>
            <w:r>
              <w:rPr>
                <w:rFonts w:ascii="Calibri" w:hAnsi="Calibri"/>
                <w:sz w:val="22"/>
              </w:rPr>
              <w:t>0.0%</w:t>
            </w:r>
          </w:p>
        </w:tc>
        <w:tc>
          <w:tcPr>
            <w:tcW w:type="dxa" w:w="1080"/>
          </w:tcPr>
          <w:p>
            <w:r>
              <w:rPr>
                <w:rFonts w:ascii="Calibri" w:hAnsi="Calibri"/>
                <w:sz w:val="22"/>
              </w:rPr>
              <w:t>10–11% FY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FY2026</w:t>
            </w:r>
          </w:p>
        </w:tc>
        <w:tc>
          <w:tcPr>
            <w:tcW w:type="dxa" w:w="1080"/>
          </w:tcPr>
          <w:p>
            <w:r>
              <w:rPr>
                <w:rFonts w:ascii="Calibri" w:hAnsi="Calibri"/>
                <w:sz w:val="22"/>
              </w:rPr>
              <w:t>$11.074</w:t>
            </w:r>
          </w:p>
        </w:tc>
        <w:tc>
          <w:tcPr>
            <w:tcW w:type="dxa" w:w="1080"/>
          </w:tcPr>
          <w:p>
            <w:r>
              <w:rPr>
                <w:rFonts w:ascii="Calibri" w:hAnsi="Calibri"/>
                <w:sz w:val="22"/>
              </w:rPr>
              <w:t>$11.076</w:t>
            </w:r>
          </w:p>
        </w:tc>
        <w:tc>
          <w:tcPr>
            <w:tcW w:type="dxa" w:w="1080"/>
          </w:tcPr>
          <w:p>
            <w:r>
              <w:rPr>
                <w:rFonts w:ascii="Calibri" w:hAnsi="Calibri"/>
                <w:sz w:val="22"/>
              </w:rPr>
              <w:t>+0.0%</w:t>
            </w:r>
          </w:p>
        </w:tc>
        <w:tc>
          <w:tcPr>
            <w:tcW w:type="dxa" w:w="1080"/>
          </w:tcPr>
          <w:p>
            <w:r>
              <w:rPr>
                <w:rFonts w:ascii="Calibri" w:hAnsi="Calibri"/>
                <w:sz w:val="22"/>
              </w:rPr>
              <w:t>10–11%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FY2027</w:t>
            </w:r>
          </w:p>
        </w:tc>
        <w:tc>
          <w:tcPr>
            <w:tcW w:type="dxa" w:w="1080"/>
          </w:tcPr>
          <w:p>
            <w:r>
              <w:rPr>
                <w:rFonts w:ascii="Calibri" w:hAnsi="Calibri"/>
                <w:sz w:val="22"/>
              </w:rPr>
              <w:t>$12.200</w:t>
            </w:r>
          </w:p>
        </w:tc>
        <w:tc>
          <w:tcPr>
            <w:tcW w:type="dxa" w:w="1080"/>
          </w:tcPr>
          <w:p>
            <w:r>
              <w:rPr>
                <w:rFonts w:ascii="Calibri" w:hAnsi="Calibri"/>
                <w:sz w:val="22"/>
              </w:rPr>
              <w:t>$12.205</w:t>
            </w:r>
          </w:p>
        </w:tc>
        <w:tc>
          <w:tcPr>
            <w:tcW w:type="dxa" w:w="1080"/>
          </w:tcPr>
          <w:p>
            <w:r>
              <w:rPr>
                <w:rFonts w:ascii="Calibri" w:hAnsi="Calibri"/>
                <w:sz w:val="22"/>
              </w:rPr>
              <w:t>+0.0%</w:t>
            </w:r>
          </w:p>
        </w:tc>
        <w:tc>
          <w:tcPr>
            <w:tcW w:type="dxa" w:w="1080"/>
          </w:tcPr>
          <w:p>
            <w:r>
              <w:rPr>
                <w:rFonts w:ascii="Calibri" w:hAnsi="Calibri"/>
                <w:sz w:val="22"/>
              </w:rPr>
              <w:t>N/A (no FY27 guide yet)</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Adjusted EBIT — Q4 FY2026</w:t>
            </w:r>
          </w:p>
        </w:tc>
        <w:tc>
          <w:tcPr>
            <w:tcW w:type="dxa" w:w="1080"/>
          </w:tcPr>
          <w:p>
            <w:r>
              <w:rPr>
                <w:rFonts w:ascii="Calibri" w:hAnsi="Calibri"/>
                <w:sz w:val="22"/>
              </w:rPr>
              <w:t>$1.360B</w:t>
            </w:r>
          </w:p>
        </w:tc>
        <w:tc>
          <w:tcPr>
            <w:tcW w:type="dxa" w:w="1080"/>
          </w:tcPr>
          <w:p>
            <w:r>
              <w:rPr>
                <w:rFonts w:ascii="Calibri" w:hAnsi="Calibri"/>
                <w:sz w:val="22"/>
              </w:rPr>
              <w:t>$1.360B</w:t>
            </w:r>
          </w:p>
        </w:tc>
        <w:tc>
          <w:tcPr>
            <w:tcW w:type="dxa" w:w="1080"/>
          </w:tcPr>
          <w:p>
            <w:r>
              <w:rPr>
                <w:rFonts w:ascii="Calibri" w:hAnsi="Calibri"/>
                <w:sz w:val="22"/>
              </w:rPr>
              <w:t>0.0%</w:t>
            </w:r>
          </w:p>
        </w:tc>
        <w:tc>
          <w:tcPr>
            <w:tcW w:type="dxa" w:w="1080"/>
          </w:tcPr>
          <w:p>
            <w:r>
              <w:rPr>
                <w:rFonts w:ascii="Calibri" w:hAnsi="Calibri"/>
                <w:sz w:val="22"/>
              </w:rPr>
              <w:t>70–80 bps margin expansion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Interest on Client Funds — FY2026</w:t>
            </w:r>
          </w:p>
        </w:tc>
        <w:tc>
          <w:tcPr>
            <w:tcW w:type="dxa" w:w="1080"/>
          </w:tcPr>
          <w:p>
            <w:r>
              <w:rPr>
                <w:rFonts w:ascii="Calibri" w:hAnsi="Calibri"/>
                <w:sz w:val="22"/>
              </w:rPr>
              <w:t>$1.345B</w:t>
            </w:r>
          </w:p>
        </w:tc>
        <w:tc>
          <w:tcPr>
            <w:tcW w:type="dxa" w:w="1080"/>
          </w:tcPr>
          <w:p>
            <w:r>
              <w:rPr>
                <w:rFonts w:ascii="Calibri" w:hAnsi="Calibri"/>
                <w:sz w:val="22"/>
              </w:rPr>
              <w:t>$1.344B</w:t>
            </w:r>
          </w:p>
        </w:tc>
        <w:tc>
          <w:tcPr>
            <w:tcW w:type="dxa" w:w="1080"/>
          </w:tcPr>
          <w:p>
            <w:r>
              <w:rPr>
                <w:rFonts w:ascii="Calibri" w:hAnsi="Calibri"/>
                <w:sz w:val="22"/>
              </w:rPr>
              <w:t>-0.1%</w:t>
            </w:r>
          </w:p>
        </w:tc>
        <w:tc>
          <w:tcPr>
            <w:tcW w:type="dxa" w:w="1080"/>
          </w:tcPr>
          <w:p>
            <w:r>
              <w:rPr>
                <w:rFonts w:ascii="Calibri" w:hAnsi="Calibri"/>
                <w:sz w:val="22"/>
              </w:rPr>
              <w:t>$1.340–1.350B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bl>
    <w:p>
      <w:r>
        <w:rPr>
          <w:rFonts w:ascii="Calibri" w:hAnsi="Calibri"/>
          <w:i/>
          <w:color w:val="525866"/>
          <w:sz w:val="22"/>
        </w:rPr>
        <w:t>Source: Visible Alpha Consensus and Actuals Data (as-of date: May 6, 2026 for baseline; latest as of July 28, 2026 for current). ADP Q3 FY2026 Earnings Call Transcript (April 29, 2026).</w:t>
      </w:r>
    </w:p>
    <w:p>
      <w:r>
        <w:rPr>
          <w:rFonts w:ascii="Calibri" w:hAnsi="Calibri"/>
          <w:color w:val="525866"/>
          <w:sz w:val="22"/>
        </w:rPr>
        <w:t>The near-zero estimate drift since the Q3 print is notable: the street has essentially locked in the raised guidance as the new baseline without adding incremental optimism. This is consistent with management's own posture of maintaining wide guidance ranges and declining to narrow them ahead of Q4. FY2027 EPS consensus of ~$12.20 implies ~10% growth, consistent with ADP's medium-term framework.</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ADP has surged ~+23% since the April 29 Q3 earnings print (vs. SPY +4%, XLK +7%), driven by a combination of multiple re-rating on the AI efficiency narrative and the operational beat/raise. </w:t>
      </w:r>
      <w:r>
        <w:rPr>
          <w:rFonts w:ascii="Calibri" w:hAnsi="Calibri"/>
          <w:b/>
          <w:color w:val="525866"/>
          <w:sz w:val="22"/>
        </w:rPr>
        <w:t>The stock is now pricing in a strong Q4 print — the re-rating has outpaced estimate revisions, suggesting sentiment/multiple expansion is the primary driver rather than earnings upgrades.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ADP vs. XLK (Tech ETF) vs. S&amp;P 500 (SPY) — Indexed to 100 at April 29, 2026 (Last Earnings Date). Source: Stock Price Data.</w:t>
      </w:r>
    </w:p>
    <w:p>
      <w:r>
        <w:rPr>
          <w:rFonts w:ascii="Calibri" w:hAnsi="Calibri"/>
          <w:b/>
          <w:color w:val="525866"/>
          <w:sz w:val="22"/>
        </w:rPr>
        <w:t xml:space="preserve">Performance summary (April 29 – July 28, 2026): </w:t>
      </w:r>
      <w:r>
        <w:rPr>
          <w:rFonts w:ascii="Calibri" w:hAnsi="Calibri"/>
          <w:color w:val="525866"/>
          <w:sz w:val="22"/>
        </w:rPr>
        <w:t>ADP: +$49.11 / +22.8% (from $215.06 to $264.17 on July 29 open day). SPY: +4.1%. XLK: +7.5%. ADP has dramatically outperformed both the broad market and the tech sector ETF since the Q3 print. Key inflection points: (1) a sharp rally in late May/early June as AI efficiency narrative gained traction; (2) a brief pullback in mid-June on broader market weakness; (3) a renewed leg higher in early July as the stock broke above $240, likely driven by pre-earnings positioning and continued positive sentiment around the HCM/AI thesis.</w:t>
      </w:r>
    </w:p>
    <w:p>
      <w:r>
        <w:rPr>
          <w:rFonts w:ascii="Calibri" w:hAnsi="Calibri"/>
          <w:b/>
          <w:color w:val="525866"/>
          <w:sz w:val="22"/>
        </w:rPr>
        <w:t xml:space="preserve">Material events marked on chart: </w:t>
      </w:r>
      <w:r>
        <w:rPr>
          <w:rFonts w:ascii="Calibri" w:hAnsi="Calibri"/>
          <w:color w:val="525866"/>
          <w:sz w:val="22"/>
        </w:rPr>
        <w:t>May 7, 2026 — ADP issued $1B in 5.000% Senior Notes due 2036 (balance sheet management, no guidance change). June 26, 2026 — ADP secured $9.2B in new credit facilities ($5.7B 364-day + $3.5B five-year), replacing prior facilities; signals financial flexibility and confidence in capital allocation.</w:t>
      </w:r>
    </w:p>
    <w:p>
      <w:r>
        <w:rPr>
          <w:rFonts w:ascii="Calibri" w:hAnsi="Calibri"/>
          <w:i/>
          <w:color w:val="525866"/>
          <w:sz w:val="22"/>
        </w:rPr>
        <w:t>Sector ETF note: XLK (Technology Select Sector SPDR) is used as the sector benchmark. ADP is classified in the Information Technology sector and XLK is the most widely used benchmark for IT-sector comparisons.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Q3 earnings is the </w:t>
      </w:r>
      <w:r>
        <w:rPr>
          <w:rFonts w:ascii="Calibri" w:hAnsi="Calibri"/>
          <w:b/>
          <w:color w:val="525866"/>
          <w:sz w:val="22"/>
        </w:rPr>
        <w:t>accelerating deceleration in ADP's own NER Pulse data</w:t>
      </w:r>
      <w:r>
        <w:rPr>
          <w:rFonts w:ascii="Calibri" w:hAnsi="Calibri"/>
          <w:color w:val="525866"/>
          <w:sz w:val="22"/>
        </w:rPr>
        <w:t xml:space="preserve"> — weekly private-sector job additions have slowed for five consecutive weeks to ~15,000/week as of July 11, a meaningful softening that could weigh on pays-per-control commentary and PEO worksite employee trends in Q4 and the FY2027 outlook.</w:t>
      </w:r>
    </w:p>
    <w:p>
      <w:pPr>
        <w:pStyle w:val="ListBullet"/>
        <w:ind w:left="360" w:hanging="360"/>
      </w:pPr>
      <w:r>
        <w:rPr>
          <w:rFonts w:ascii="Calibri" w:hAnsi="Calibri"/>
          <w:b/>
          <w:color w:val="525866"/>
          <w:sz w:val="22"/>
        </w:rPr>
        <w:t xml:space="preserve">July 28, 2026 — ADP NER Pulse (week ending July 11): </w:t>
      </w:r>
      <w:r>
        <w:rPr>
          <w:rFonts w:ascii="Calibri" w:hAnsi="Calibri"/>
          <w:color w:val="525866"/>
          <w:sz w:val="22"/>
        </w:rPr>
        <w:t xml:space="preserve">Private-sector hiring slowed for the fifth consecutive week to ~15,000 jobs/week (4-week moving average), down sharply from ~40,750/week in early May. This is ADP's own proprietary data and will be a key talking point on the Q4 call regarding the labor market backdrop heading into FY2027. </w:t>
      </w:r>
      <w:r>
        <w:rPr>
          <w:rFonts w:ascii="Calibri" w:hAnsi="Calibri"/>
          <w:i/>
          <w:color w:val="525866"/>
          <w:sz w:val="22"/>
        </w:rPr>
        <w:t>Implication: Softening pays-per-control could pressure FY2027 revenue growth assumptions.</w:t>
      </w:r>
    </w:p>
    <w:p>
      <w:pPr>
        <w:pStyle w:val="ListBullet"/>
        <w:ind w:left="360" w:hanging="360"/>
      </w:pPr>
      <w:r>
        <w:rPr>
          <w:rFonts w:ascii="Calibri" w:hAnsi="Calibri"/>
          <w:b/>
          <w:color w:val="525866"/>
          <w:sz w:val="22"/>
        </w:rPr>
        <w:t xml:space="preserve">July 1, 2026 — ADP National Employment Report (June): </w:t>
      </w:r>
      <w:r>
        <w:rPr>
          <w:rFonts w:ascii="Calibri" w:hAnsi="Calibri"/>
          <w:color w:val="525866"/>
          <w:sz w:val="22"/>
        </w:rPr>
        <w:t xml:space="preserve">Private sector employment increased by 98,000 jobs in June, with annual pay up 4.4% YoY. The June print was below the May figure of 122,000, continuing a trend of moderating job creation. </w:t>
      </w:r>
      <w:r>
        <w:rPr>
          <w:rFonts w:ascii="Calibri" w:hAnsi="Calibri"/>
          <w:i/>
          <w:color w:val="525866"/>
          <w:sz w:val="22"/>
        </w:rPr>
        <w:t>Implication: Consistent with management's ~1% pays-per-control growth guide but trending toward the lower end.</w:t>
      </w:r>
    </w:p>
    <w:p>
      <w:pPr>
        <w:pStyle w:val="ListBullet"/>
        <w:ind w:left="360" w:hanging="360"/>
      </w:pPr>
      <w:r>
        <w:rPr>
          <w:rFonts w:ascii="Calibri" w:hAnsi="Calibri"/>
          <w:b/>
          <w:color w:val="525866"/>
          <w:sz w:val="22"/>
        </w:rPr>
        <w:t xml:space="preserve">June 26, 2026 — ADP Secures $9.2B in New Credit Facilities (8-K): </w:t>
      </w:r>
      <w:r>
        <w:rPr>
          <w:rFonts w:ascii="Calibri" w:hAnsi="Calibri"/>
          <w:color w:val="525866"/>
          <w:sz w:val="22"/>
        </w:rPr>
        <w:t xml:space="preserve">$5.7B 364-day facility (replacing prior $4.55B) + $3.5B five-year facility (replacing prior $3.5B). Administered by JPMorgan Chase; syndicated by BofA, BNP Paribas, Wells Fargo, Deutsche Bank. The 364-day facility is notably larger than its predecessor. </w:t>
      </w:r>
      <w:r>
        <w:rPr>
          <w:rFonts w:ascii="Calibri" w:hAnsi="Calibri"/>
          <w:i/>
          <w:color w:val="525866"/>
          <w:sz w:val="22"/>
        </w:rPr>
        <w:t>Implication: Signals financial flexibility and supports continued elevated share repurchases; no guidance change.</w:t>
      </w:r>
    </w:p>
    <w:p>
      <w:pPr>
        <w:pStyle w:val="ListBullet"/>
        <w:ind w:left="360" w:hanging="360"/>
      </w:pPr>
      <w:r>
        <w:rPr>
          <w:rFonts w:ascii="Calibri" w:hAnsi="Calibri"/>
          <w:b/>
          <w:color w:val="525866"/>
          <w:sz w:val="22"/>
        </w:rPr>
        <w:t xml:space="preserve">May 7, 2026 — ADP Issues $1B in 5.000% Senior Notes Due 2036 (8-K): </w:t>
      </w:r>
      <w:r>
        <w:rPr>
          <w:rFonts w:ascii="Calibri" w:hAnsi="Calibri"/>
          <w:color w:val="525866"/>
          <w:sz w:val="22"/>
        </w:rPr>
        <w:t xml:space="preserve">ADP tapped the investment-grade debt market with a 10-year note offering. Proceeds for general corporate purposes. </w:t>
      </w:r>
      <w:r>
        <w:rPr>
          <w:rFonts w:ascii="Calibri" w:hAnsi="Calibri"/>
          <w:i/>
          <w:color w:val="525866"/>
          <w:sz w:val="22"/>
        </w:rPr>
        <w:t>Implication: Consistent with management's stated intent to continue elevated capital returns; adds modest interest expense.</w:t>
      </w:r>
    </w:p>
    <w:p>
      <w:pPr>
        <w:pStyle w:val="ListBullet"/>
        <w:ind w:left="360" w:hanging="360"/>
      </w:pPr>
      <w:r>
        <w:rPr>
          <w:rFonts w:ascii="Calibri" w:hAnsi="Calibri"/>
          <w:b/>
          <w:color w:val="525866"/>
          <w:sz w:val="22"/>
        </w:rPr>
        <w:t xml:space="preserve">May 2026 — ADP NER (May): </w:t>
      </w:r>
      <w:r>
        <w:rPr>
          <w:rFonts w:ascii="Calibri" w:hAnsi="Calibri"/>
          <w:color w:val="525866"/>
          <w:sz w:val="22"/>
        </w:rPr>
        <w:t xml:space="preserve">Private sector added 122,000 jobs in May, described as 'broad-based' with 8 of 10 supersectors showing gains. Management cited 'sustained momentum going into the summer hiring season.' </w:t>
      </w:r>
      <w:r>
        <w:rPr>
          <w:rFonts w:ascii="Calibri" w:hAnsi="Calibri"/>
          <w:i/>
          <w:color w:val="525866"/>
          <w:sz w:val="22"/>
        </w:rPr>
        <w:t>Implication: Supportive of Q4 pays-per-control guidance at the time, but subsequent NER Pulse data has softened.</w:t>
      </w:r>
    </w:p>
    <w:p>
      <w:pPr>
        <w:pStyle w:val="ListBullet"/>
        <w:ind w:left="360" w:hanging="360"/>
      </w:pPr>
      <w:r>
        <w:rPr>
          <w:rFonts w:ascii="Calibri" w:hAnsi="Calibri"/>
          <w:b/>
          <w:color w:val="525866"/>
          <w:sz w:val="22"/>
        </w:rPr>
        <w:t xml:space="preserve">April 29, 2026 — Q3 FY2026 Earnings Beat &amp; Guidance Raise: </w:t>
      </w:r>
      <w:r>
        <w:rPr>
          <w:rFonts w:ascii="Calibri" w:hAnsi="Calibri"/>
          <w:color w:val="525866"/>
          <w:sz w:val="22"/>
        </w:rPr>
        <w:t>Revenue +7% to $5.94B (beat $5.85B est.), Adj. EPS $3.37 (beat $3.29 est.), Adj. EBIT margin +80 bps to 30.2%. Full-year guidance raised across revenue (to 6–7%), Adj. EBIT margin expansion (to 70–80 bps), and Adj. EPS growth (to 10–11%). ES retention hit a new Q3 record. Stock rallied sharply on the day.</w:t>
      </w:r>
    </w:p>
    <w:p>
      <w:r>
        <w:br w:type="page"/>
      </w:r>
    </w:p>
    <w:p>
      <w:pPr>
        <w:pStyle w:val="Heading2"/>
      </w:pPr>
      <w:r>
        <w:rPr>
          <w:rFonts w:ascii="Calibri" w:hAnsi="Calibri"/>
          <w:b/>
          <w:color w:val="3B4259"/>
          <w:sz w:val="28"/>
        </w:rPr>
        <w:t>7. Peer Commentaries — Read-Through for ADP Q4 FY2026</w:t>
      </w:r>
    </w:p>
    <w:p>
      <w:r>
        <w:rPr>
          <w:rFonts w:ascii="Calibri" w:hAnsi="Calibri"/>
          <w:b/>
          <w:color w:val="525866"/>
          <w:sz w:val="22"/>
        </w:rPr>
        <w:t xml:space="preserve">Key Takeaway: </w:t>
      </w:r>
      <w:r>
        <w:rPr>
          <w:rFonts w:ascii="Calibri" w:hAnsi="Calibri"/>
          <w:color w:val="525866"/>
          <w:sz w:val="22"/>
        </w:rPr>
        <w:t xml:space="preserve">Peer commentary from the last 60 days is broadly constructive for ADP's Q4 print: Paychex reported record retention and accelerating bookings in its fiscal Q4 (March–May 2026), directly overlapping with ADP's Q4; ManpowerGroup confirmed labor market recovery with broad-based hiring demand; and Robert Half noted improving staffing trends. </w:t>
      </w:r>
      <w:r>
        <w:rPr>
          <w:rFonts w:ascii="Calibri" w:hAnsi="Calibri"/>
          <w:b/>
          <w:color w:val="525866"/>
          <w:sz w:val="22"/>
        </w:rPr>
        <w:t>The primary read-through risk is Paychex's flat employment-level assumption for FY2027, consistent with ADP's own NER Pulse deceleration.</w:t>
      </w:r>
    </w:p>
    <w:p>
      <w:r>
        <w:rPr>
          <w:rFonts w:ascii="Calibri" w:hAnsi="Calibri"/>
          <w:b/>
          <w:i/>
          <w:color w:val="525866"/>
          <w:sz w:val="22"/>
        </w:rPr>
        <w:t xml:space="preserve">Note on period alignment: </w:t>
      </w:r>
      <w:r>
        <w:rPr>
          <w:rFonts w:ascii="Calibri" w:hAnsi="Calibri"/>
          <w:i/>
          <w:color w:val="525866"/>
          <w:sz w:val="22"/>
        </w:rPr>
        <w:t>Only commentary about the current reporting period (ADP Q4 FY2026, April–June 2026) or forward-looking commentary made after ADP's last earnings (April 29, 2026) is included. Prior-quarter results commentary is excluded.</w:t>
      </w:r>
    </w:p>
    <w:p>
      <w:pPr>
        <w:pStyle w:val="Heading3"/>
      </w:pPr>
      <w:r>
        <w:rPr>
          <w:rFonts w:ascii="Calibri" w:hAnsi="Calibri"/>
          <w:b/>
          <w:color w:val="3B4259"/>
          <w:sz w:val="24"/>
        </w:rPr>
        <w:t>Paychex (PAYX) — Q4 FY2026 Earnings Call, June 24, 2026</w:t>
      </w:r>
    </w:p>
    <w:p>
      <w:r>
        <w:rPr>
          <w:rFonts w:ascii="Calibri" w:hAnsi="Calibri"/>
          <w:i/>
          <w:color w:val="525866"/>
          <w:sz w:val="22"/>
        </w:rPr>
        <w:t>Paychex's fiscal Q4 2026 (March–May 2026) partially overlaps with ADP's Q4 FY2026 (April–June 2026) and is the most direct read-through peer. PAYX reported strong results and provided FY2027 guidance on June 24.</w:t>
      </w:r>
    </w:p>
    <w:p>
      <w:pPr>
        <w:pStyle w:val="ListBullet"/>
        <w:ind w:left="360" w:hanging="360"/>
      </w:pPr>
      <w:r>
        <w:rPr>
          <w:rFonts w:ascii="Calibri" w:hAnsi="Calibri"/>
          <w:b/>
          <w:color w:val="525866"/>
          <w:sz w:val="22"/>
        </w:rPr>
        <w:t xml:space="preserve">Record retention across payroll, ASO, and PEO: </w:t>
      </w:r>
      <w:r>
        <w:rPr>
          <w:rFonts w:ascii="Calibri" w:hAnsi="Calibri"/>
          <w:color w:val="525866"/>
          <w:sz w:val="22"/>
        </w:rPr>
        <w:t xml:space="preserve">Paychex reported record worksite employee retention in ASO and PEO for the full fiscal year, with the 100+ employee segment at its highest retention in 13 years. Payroll retention returned to pre-pandemic (previously record) levels. </w:t>
      </w:r>
      <w:r>
        <w:rPr>
          <w:rFonts w:ascii="Calibri" w:hAnsi="Calibri"/>
          <w:b/>
          <w:color w:val="002FA7"/>
          <w:sz w:val="22"/>
        </w:rPr>
        <w:t xml:space="preserve">ADP read-through: </w:t>
      </w:r>
      <w:r>
        <w:rPr>
          <w:rFonts w:ascii="Calibri" w:hAnsi="Calibri"/>
          <w:color w:val="525866"/>
          <w:sz w:val="22"/>
        </w:rPr>
        <w:t xml:space="preserve"> Strongly positive — corroborates ADP's own record Q3 retention and supports the view that the HCM retention environment is structurally improving, not just ADP-specific. Reduces risk of a Q4 retention miss.</w:t>
      </w:r>
    </w:p>
    <w:p>
      <w:pPr>
        <w:pStyle w:val="ListBullet"/>
        <w:ind w:left="360" w:hanging="360"/>
      </w:pPr>
      <w:r>
        <w:rPr>
          <w:rFonts w:ascii="Calibri" w:hAnsi="Calibri"/>
          <w:b/>
          <w:color w:val="525866"/>
          <w:sz w:val="22"/>
        </w:rPr>
        <w:t xml:space="preserve">Accelerating bookings in Q4 FY2026: </w:t>
      </w:r>
      <w:r>
        <w:rPr>
          <w:rFonts w:ascii="Calibri" w:hAnsi="Calibri"/>
          <w:color w:val="525866"/>
          <w:sz w:val="22"/>
        </w:rPr>
        <w:t xml:space="preserve">Paychex described Q4 as 'a really strong performance in bookings,' broad-based across ASO, PEO, and retirement, with enterprise bookings at the highest dollar volume all year. Broker pipeline returned to pre-acquisition levels. </w:t>
      </w:r>
      <w:r>
        <w:rPr>
          <w:rFonts w:ascii="Calibri" w:hAnsi="Calibri"/>
          <w:b/>
          <w:color w:val="002FA7"/>
          <w:sz w:val="22"/>
        </w:rPr>
        <w:t xml:space="preserve">ADP read-through: </w:t>
      </w:r>
      <w:r>
        <w:rPr>
          <w:rFonts w:ascii="Calibri" w:hAnsi="Calibri"/>
          <w:color w:val="525866"/>
          <w:sz w:val="22"/>
        </w:rPr>
        <w:t xml:space="preserve"> Positive — suggests the HCM demand environment in April–May was healthy, supporting ADP's ability to deliver on its 4–7% bookings growth guide. Q4 is also ADP's largest bookings quarter.</w:t>
      </w:r>
    </w:p>
    <w:p>
      <w:pPr>
        <w:pStyle w:val="ListBullet"/>
        <w:ind w:left="360" w:hanging="360"/>
      </w:pPr>
      <w:r>
        <w:rPr>
          <w:rFonts w:ascii="Calibri" w:hAnsi="Calibri"/>
          <w:b/>
          <w:color w:val="525866"/>
          <w:sz w:val="22"/>
        </w:rPr>
        <w:t xml:space="preserve">PEO worksite employee growth: high single digits: </w:t>
      </w:r>
      <w:r>
        <w:rPr>
          <w:rFonts w:ascii="Calibri" w:hAnsi="Calibri"/>
          <w:color w:val="525866"/>
          <w:sz w:val="22"/>
        </w:rPr>
        <w:t xml:space="preserve">Paychex's PEO worksite employee growth 'continued to outpace the industry, with high single digit growth in the quarter and full year.' </w:t>
      </w:r>
      <w:r>
        <w:rPr>
          <w:rFonts w:ascii="Calibri" w:hAnsi="Calibri"/>
          <w:b/>
          <w:color w:val="002FA7"/>
          <w:sz w:val="22"/>
        </w:rPr>
        <w:t xml:space="preserve">ADP read-through: </w:t>
      </w:r>
      <w:r>
        <w:rPr>
          <w:rFonts w:ascii="Calibri" w:hAnsi="Calibri"/>
          <w:color w:val="525866"/>
          <w:sz w:val="22"/>
        </w:rPr>
        <w:t xml:space="preserve"> Mixed — Paychex's PEO is growing faster than ADP's guided ~2%, but ADP's PEO is larger and more selective (white-collar skew, fully insured model). The divergence reflects mix differences rather than competitive share loss.</w:t>
      </w:r>
    </w:p>
    <w:p>
      <w:pPr>
        <w:pStyle w:val="ListBullet"/>
        <w:ind w:left="360" w:hanging="360"/>
      </w:pPr>
      <w:r>
        <w:rPr>
          <w:rFonts w:ascii="Calibri" w:hAnsi="Calibri"/>
          <w:b/>
          <w:color w:val="525866"/>
          <w:sz w:val="22"/>
        </w:rPr>
        <w:t xml:space="preserve">Flat employment levels assumed for FY2027: </w:t>
      </w:r>
      <w:r>
        <w:rPr>
          <w:rFonts w:ascii="Calibri" w:hAnsi="Calibri"/>
          <w:color w:val="525866"/>
          <w:sz w:val="22"/>
        </w:rPr>
        <w:t xml:space="preserve">Paychex's FY2027 outlook 'assumes that employment levels will continue to remain flat.' Client base described as 'relatively flat' with no expectation of significant growth from it. </w:t>
      </w:r>
      <w:r>
        <w:rPr>
          <w:rFonts w:ascii="Calibri" w:hAnsi="Calibri"/>
          <w:b/>
          <w:color w:val="E5484D"/>
          <w:sz w:val="22"/>
        </w:rPr>
        <w:t xml:space="preserve">ADP read-through: </w:t>
      </w:r>
      <w:r>
        <w:rPr>
          <w:rFonts w:ascii="Calibri" w:hAnsi="Calibri"/>
          <w:color w:val="525866"/>
          <w:sz w:val="22"/>
        </w:rPr>
        <w:t xml:space="preserve"> Cautionary — consistent with ADP's own NER Pulse deceleration and ~1% pays-per-control guide. Suggests the labor market tailwind for FY2027 will be minimal, putting more pressure on bookings and pricing to drive revenue growth.</w:t>
      </w:r>
    </w:p>
    <w:p>
      <w:pPr>
        <w:pStyle w:val="ListBullet"/>
        <w:ind w:left="360" w:hanging="360"/>
      </w:pPr>
      <w:r>
        <w:rPr>
          <w:rFonts w:ascii="Calibri" w:hAnsi="Calibri"/>
          <w:b/>
          <w:color w:val="525866"/>
          <w:sz w:val="22"/>
        </w:rPr>
        <w:t xml:space="preserve">AI monetization (Wyze) gaining traction: </w:t>
      </w:r>
      <w:r>
        <w:rPr>
          <w:rFonts w:ascii="Calibri" w:hAnsi="Calibri"/>
          <w:color w:val="525866"/>
          <w:sz w:val="22"/>
        </w:rPr>
        <w:t xml:space="preserve">Paychex launched 'Wyze' AI engine with ~600 AI features, 10,000 customers in soft launch of intelligent timekeeping (cutting errors 70%), and meaningful reductions in administrative work. HR outsourcing and ASO engagements increased more than 60% in the year. </w:t>
      </w:r>
      <w:r>
        <w:rPr>
          <w:rFonts w:ascii="Calibri" w:hAnsi="Calibri"/>
          <w:b/>
          <w:color w:val="002FA7"/>
          <w:sz w:val="22"/>
        </w:rPr>
        <w:t xml:space="preserve">ADP read-through: </w:t>
      </w:r>
      <w:r>
        <w:rPr>
          <w:rFonts w:ascii="Calibri" w:hAnsi="Calibri"/>
          <w:color w:val="525866"/>
          <w:sz w:val="22"/>
        </w:rPr>
        <w:t xml:space="preserve"> Positive for the sector narrative — validates ADP's own AI monetization thesis and suggests the market is receptive to AI-enhanced HCM offerings. Competitive dynamic to watch as both companies accelerate AI deployment.</w:t>
      </w:r>
    </w:p>
    <w:p>
      <w:pPr>
        <w:pStyle w:val="ListBullet"/>
        <w:ind w:left="360" w:hanging="360"/>
      </w:pPr>
      <w:r>
        <w:rPr>
          <w:rFonts w:ascii="Calibri" w:hAnsi="Calibri"/>
          <w:b/>
          <w:color w:val="525866"/>
          <w:sz w:val="22"/>
        </w:rPr>
        <w:t xml:space="preserve">FY2027 revenue guidance of 5–6%: </w:t>
      </w:r>
      <w:r>
        <w:rPr>
          <w:rFonts w:ascii="Calibri" w:hAnsi="Calibri"/>
          <w:color w:val="525866"/>
          <w:sz w:val="22"/>
        </w:rPr>
        <w:t xml:space="preserve">Paychex guided total revenue growth of 5–6% for FY2027, with PEO/Insurance at 6–7% and management solutions at 5–6%. Adjusted diluted EPS growth of 7–9%. </w:t>
      </w:r>
      <w:r>
        <w:rPr>
          <w:rFonts w:ascii="Calibri" w:hAnsi="Calibri"/>
          <w:b/>
          <w:color w:val="002FA7"/>
          <w:sz w:val="22"/>
        </w:rPr>
        <w:t xml:space="preserve">ADP read-through: </w:t>
      </w:r>
      <w:r>
        <w:rPr>
          <w:rFonts w:ascii="Calibri" w:hAnsi="Calibri"/>
          <w:color w:val="525866"/>
          <w:sz w:val="22"/>
        </w:rPr>
        <w:t xml:space="preserve"> Broadly consistent with ADP's own medium-term growth framework; suggests the HCM sector is expected to sustain mid-single-digit revenue growth in the next fiscal year.</w:t>
      </w:r>
    </w:p>
    <w:p>
      <w:pPr>
        <w:pStyle w:val="ListBullet"/>
        <w:ind w:left="360" w:hanging="360"/>
      </w:pPr>
      <w:r>
        <w:rPr>
          <w:rFonts w:ascii="Calibri" w:hAnsi="Calibri"/>
          <w:b/>
          <w:color w:val="525866"/>
          <w:sz w:val="22"/>
        </w:rPr>
        <w:t xml:space="preserve">Healthcare inflation squeezing small businesses: </w:t>
      </w:r>
      <w:r>
        <w:rPr>
          <w:rFonts w:ascii="Calibri" w:hAnsi="Calibri"/>
          <w:color w:val="525866"/>
          <w:sz w:val="22"/>
        </w:rPr>
        <w:t xml:space="preserve">Paychex highlighted healthcare inflation as a 'real squeeze' for small and medium-sized businesses competing for labor, driving demand for PEO and benefits outsourcing. </w:t>
      </w:r>
      <w:r>
        <w:rPr>
          <w:rFonts w:ascii="Calibri" w:hAnsi="Calibri"/>
          <w:b/>
          <w:color w:val="002FA7"/>
          <w:sz w:val="22"/>
        </w:rPr>
        <w:t xml:space="preserve">ADP read-through: </w:t>
      </w:r>
      <w:r>
        <w:rPr>
          <w:rFonts w:ascii="Calibri" w:hAnsi="Calibri"/>
          <w:color w:val="525866"/>
          <w:sz w:val="22"/>
        </w:rPr>
        <w:t xml:space="preserve"> Positive for ADP's PEO value proposition; however, ADP's fully insured model means high medical renewal environments can exert some downward pressure on PEO retention (as management noted on the Q3 call).</w:t>
      </w:r>
    </w:p>
    <w:p>
      <w:pPr>
        <w:pStyle w:val="Heading3"/>
      </w:pPr>
      <w:r>
        <w:rPr>
          <w:rFonts w:ascii="Calibri" w:hAnsi="Calibri"/>
          <w:b/>
          <w:color w:val="3B4259"/>
          <w:sz w:val="24"/>
        </w:rPr>
        <w:t>ManpowerGroup (MAN) — Q2 2026 Earnings Call, July 16, 2026</w:t>
      </w:r>
    </w:p>
    <w:p>
      <w:r>
        <w:rPr>
          <w:rFonts w:ascii="Calibri" w:hAnsi="Calibri"/>
          <w:i/>
          <w:color w:val="525866"/>
          <w:sz w:val="22"/>
        </w:rPr>
        <w:t>ManpowerGroup's Q2 2026 (April–June 2026) directly overlaps with ADP's Q4 FY2026. MAN is a global staffing and workforce solutions company with broad visibility into labor market conditions.</w:t>
      </w:r>
    </w:p>
    <w:p>
      <w:pPr>
        <w:pStyle w:val="ListBullet"/>
        <w:ind w:left="360" w:hanging="360"/>
      </w:pPr>
      <w:r>
        <w:rPr>
          <w:rFonts w:ascii="Calibri" w:hAnsi="Calibri"/>
          <w:b/>
          <w:color w:val="525866"/>
          <w:sz w:val="22"/>
        </w:rPr>
        <w:t xml:space="preserve">Labor market moved from stabilization to recovery: </w:t>
      </w:r>
      <w:r>
        <w:rPr>
          <w:rFonts w:ascii="Calibri" w:hAnsi="Calibri"/>
          <w:color w:val="525866"/>
          <w:sz w:val="22"/>
        </w:rPr>
        <w:t xml:space="preserve">ManpowerGroup stated that its Manpower brand 'has moved from stabilization into a recovery,' with revenues up 8% in constant currency for the fifth consecutive quarter of growth. US Manpower grew 16% in Q2, marking eight consecutive quarters of US growth. </w:t>
      </w:r>
      <w:r>
        <w:rPr>
          <w:rFonts w:ascii="Calibri" w:hAnsi="Calibri"/>
          <w:b/>
          <w:color w:val="30A46C"/>
          <w:sz w:val="22"/>
        </w:rPr>
        <w:t xml:space="preserve">ADP read-through: </w:t>
      </w:r>
      <w:r>
        <w:rPr>
          <w:rFonts w:ascii="Calibri" w:hAnsi="Calibri"/>
          <w:color w:val="525866"/>
          <w:sz w:val="22"/>
        </w:rPr>
        <w:t xml:space="preserve"> Positive — a recovering labor market supports ADP's pays-per-control trajectory and new business bookings environment. The US strength is particularly relevant for ADP's domestic ES segment.</w:t>
      </w:r>
    </w:p>
    <w:p>
      <w:pPr>
        <w:pStyle w:val="ListBullet"/>
        <w:ind w:left="360" w:hanging="360"/>
      </w:pPr>
      <w:r>
        <w:rPr>
          <w:rFonts w:ascii="Calibri" w:hAnsi="Calibri"/>
          <w:b/>
          <w:color w:val="525866"/>
          <w:sz w:val="22"/>
        </w:rPr>
        <w:t xml:space="preserve">Broad-based hiring demand across verticals: </w:t>
      </w:r>
      <w:r>
        <w:rPr>
          <w:rFonts w:ascii="Calibri" w:hAnsi="Calibri"/>
          <w:color w:val="525866"/>
          <w:sz w:val="22"/>
        </w:rPr>
        <w:t xml:space="preserve">Positive momentum observed across manufacturing, automotive, aerospace, logistics, and retail in the US. Early signs of the 'convenience market' improving, with smaller to mid-sized customers starting to re-engage. </w:t>
      </w:r>
      <w:r>
        <w:rPr>
          <w:rFonts w:ascii="Calibri" w:hAnsi="Calibri"/>
          <w:b/>
          <w:color w:val="30A46C"/>
          <w:sz w:val="22"/>
        </w:rPr>
        <w:t xml:space="preserve">ADP read-through: </w:t>
      </w:r>
      <w:r>
        <w:rPr>
          <w:rFonts w:ascii="Calibri" w:hAnsi="Calibri"/>
          <w:color w:val="525866"/>
          <w:sz w:val="22"/>
        </w:rPr>
        <w:t xml:space="preserve"> Positive for ADP's small and mid-market ES segment; suggests the demand environment for payroll and HR services was healthy in April–June.</w:t>
      </w:r>
    </w:p>
    <w:p>
      <w:pPr>
        <w:pStyle w:val="ListBullet"/>
        <w:ind w:left="360" w:hanging="360"/>
      </w:pPr>
      <w:r>
        <w:rPr>
          <w:rFonts w:ascii="Calibri" w:hAnsi="Calibri"/>
          <w:b/>
          <w:color w:val="525866"/>
          <w:sz w:val="22"/>
        </w:rPr>
        <w:t xml:space="preserve">Permanent recruitment crossed to flat: </w:t>
      </w:r>
      <w:r>
        <w:rPr>
          <w:rFonts w:ascii="Calibri" w:hAnsi="Calibri"/>
          <w:color w:val="525866"/>
          <w:sz w:val="22"/>
        </w:rPr>
        <w:t xml:space="preserve">Permanent recruitment 'crossed over to flat in the second quarter overall,' described as 'a big positive' after a prolonged period of decline. </w:t>
      </w:r>
      <w:r>
        <w:rPr>
          <w:rFonts w:ascii="Calibri" w:hAnsi="Calibri"/>
          <w:b/>
          <w:color w:val="30A46C"/>
          <w:sz w:val="22"/>
        </w:rPr>
        <w:t xml:space="preserve">ADP read-through: </w:t>
      </w:r>
      <w:r>
        <w:rPr>
          <w:rFonts w:ascii="Calibri" w:hAnsi="Calibri"/>
          <w:color w:val="525866"/>
          <w:sz w:val="22"/>
        </w:rPr>
        <w:t xml:space="preserve"> Positive — perm hiring recovery is a leading indicator for payroll processing volumes and new client additions.</w:t>
      </w:r>
    </w:p>
    <w:p>
      <w:pPr>
        <w:pStyle w:val="ListBullet"/>
        <w:ind w:left="360" w:hanging="360"/>
      </w:pPr>
      <w:r>
        <w:rPr>
          <w:rFonts w:ascii="Calibri" w:hAnsi="Calibri"/>
          <w:b/>
          <w:color w:val="525866"/>
          <w:sz w:val="22"/>
        </w:rPr>
        <w:t xml:space="preserve">AI demand focused on infrastructure skills: </w:t>
      </w:r>
      <w:r>
        <w:rPr>
          <w:rFonts w:ascii="Calibri" w:hAnsi="Calibri"/>
          <w:color w:val="525866"/>
          <w:sz w:val="22"/>
        </w:rPr>
        <w:t xml:space="preserve">Clients demanding database architects, data scientists, and computer network engineers for data centers. ManpowerGroup generating $50–100M from AI partnership-driven revenue with ~100 qualified leads in pipeline. </w:t>
      </w:r>
      <w:r>
        <w:rPr>
          <w:rFonts w:ascii="Calibri" w:hAnsi="Calibri"/>
          <w:b/>
          <w:color w:val="002FA7"/>
          <w:sz w:val="22"/>
        </w:rPr>
        <w:t xml:space="preserve">ADP read-through: </w:t>
      </w:r>
      <w:r>
        <w:rPr>
          <w:rFonts w:ascii="Calibri" w:hAnsi="Calibri"/>
          <w:color w:val="525866"/>
          <w:sz w:val="22"/>
        </w:rPr>
        <w:t xml:space="preserve"> Neutral to positive — AI-driven hiring demand supports employment volumes but also validates ADP's thesis that AI augments rather than replaces human labor in the near term.</w:t>
      </w:r>
    </w:p>
    <w:p>
      <w:pPr>
        <w:pStyle w:val="ListBullet"/>
        <w:ind w:left="360" w:hanging="360"/>
      </w:pPr>
      <w:r>
        <w:rPr>
          <w:rFonts w:ascii="Calibri" w:hAnsi="Calibri"/>
          <w:b/>
          <w:color w:val="525866"/>
          <w:sz w:val="22"/>
        </w:rPr>
        <w:t xml:space="preserve">Q3 2026 guidance: 6% organic constant currency revenue growth: </w:t>
      </w:r>
      <w:r>
        <w:rPr>
          <w:rFonts w:ascii="Calibri" w:hAnsi="Calibri"/>
          <w:color w:val="525866"/>
          <w:sz w:val="22"/>
        </w:rPr>
        <w:t xml:space="preserve">ManpowerGroup guided Q3 2026 organic days-adjusted constant currency revenue growth of 6% at the midpoint, consistent with Q2. Stable staffing margins anticipated. </w:t>
      </w:r>
      <w:r>
        <w:rPr>
          <w:rFonts w:ascii="Calibri" w:hAnsi="Calibri"/>
          <w:b/>
          <w:color w:val="002FA7"/>
          <w:sz w:val="22"/>
        </w:rPr>
        <w:t xml:space="preserve">ADP read-through: </w:t>
      </w:r>
      <w:r>
        <w:rPr>
          <w:rFonts w:ascii="Calibri" w:hAnsi="Calibri"/>
          <w:color w:val="525866"/>
          <w:sz w:val="22"/>
        </w:rPr>
        <w:t xml:space="preserve"> Positive — suggests the labor market recovery is expected to continue into ADP's FY2027 Q1 (July–September 2026), supporting the bookings and pays-per-control outlook.</w:t>
      </w:r>
    </w:p>
    <w:p>
      <w:pPr>
        <w:pStyle w:val="Heading3"/>
      </w:pPr>
      <w:r>
        <w:rPr>
          <w:rFonts w:ascii="Calibri" w:hAnsi="Calibri"/>
          <w:b/>
          <w:color w:val="3B4259"/>
          <w:sz w:val="24"/>
        </w:rPr>
        <w:t>Robert Half International (RHI) — Q2 2026 Earnings Call, July 23, 2026</w:t>
      </w:r>
    </w:p>
    <w:p>
      <w:r>
        <w:rPr>
          <w:rFonts w:ascii="Calibri" w:hAnsi="Calibri"/>
          <w:i/>
          <w:color w:val="525866"/>
          <w:sz w:val="22"/>
        </w:rPr>
        <w:t>Robert Half's Q2 2026 (April–June 2026) directly overlaps with ADP's Q4 FY2026. RHI focuses on professional staffing and consulting, with particular visibility into white-collar employment trends.</w:t>
      </w:r>
    </w:p>
    <w:p>
      <w:pPr>
        <w:pStyle w:val="ListBullet"/>
        <w:ind w:left="360" w:hanging="360"/>
      </w:pPr>
      <w:r>
        <w:rPr>
          <w:rFonts w:ascii="Calibri" w:hAnsi="Calibri"/>
          <w:b/>
          <w:color w:val="525866"/>
          <w:sz w:val="22"/>
        </w:rPr>
        <w:t xml:space="preserve">Third consecutive quarter of sequential revenue growth in Talent Solutions: </w:t>
      </w:r>
      <w:r>
        <w:rPr>
          <w:rFonts w:ascii="Calibri" w:hAnsi="Calibri"/>
          <w:color w:val="525866"/>
          <w:sz w:val="22"/>
        </w:rPr>
        <w:t xml:space="preserve">RHI's Talent Solutions delivered its third consecutive quarter of sequential revenue growth on an adjusted basis, with permanent placement revenues up 2.5% YoY. Contract Talent Solutions bill rates increased 2.3% YoY. </w:t>
      </w:r>
      <w:r>
        <w:rPr>
          <w:rFonts w:ascii="Calibri" w:hAnsi="Calibri"/>
          <w:b/>
          <w:color w:val="30A46C"/>
          <w:sz w:val="22"/>
        </w:rPr>
        <w:t xml:space="preserve">ADP read-through: </w:t>
      </w:r>
      <w:r>
        <w:rPr>
          <w:rFonts w:ascii="Calibri" w:hAnsi="Calibri"/>
          <w:color w:val="525866"/>
          <w:sz w:val="22"/>
        </w:rPr>
        <w:t xml:space="preserve"> Positive for ADP's white-collar ES segment — improving professional staffing trends support pays-per-control in the segments ADP has flagged as resilient (IT, professional services, financial services, health).</w:t>
      </w:r>
    </w:p>
    <w:p>
      <w:pPr>
        <w:pStyle w:val="ListBullet"/>
        <w:ind w:left="360" w:hanging="360"/>
      </w:pPr>
      <w:r>
        <w:rPr>
          <w:rFonts w:ascii="Calibri" w:hAnsi="Calibri"/>
          <w:b/>
          <w:color w:val="525866"/>
          <w:sz w:val="22"/>
        </w:rPr>
        <w:t xml:space="preserve">Technology is the strongest practice group: </w:t>
      </w:r>
      <w:r>
        <w:rPr>
          <w:rFonts w:ascii="Calibri" w:hAnsi="Calibri"/>
          <w:color w:val="525866"/>
          <w:sz w:val="22"/>
        </w:rPr>
        <w:t xml:space="preserve">Technology achieved adjusted YoY revenue growth of 2.3% within Contract Talent Solutions, with strong demand in technology modernization, data, cybersecurity, and IT infrastructure. </w:t>
      </w:r>
      <w:r>
        <w:rPr>
          <w:rFonts w:ascii="Calibri" w:hAnsi="Calibri"/>
          <w:b/>
          <w:color w:val="002FA7"/>
          <w:sz w:val="22"/>
        </w:rPr>
        <w:t xml:space="preserve">ADP read-through: </w:t>
      </w:r>
      <w:r>
        <w:rPr>
          <w:rFonts w:ascii="Calibri" w:hAnsi="Calibri"/>
          <w:color w:val="525866"/>
          <w:sz w:val="22"/>
        </w:rPr>
        <w:t xml:space="preserve"> Positive — tech sector hiring resilience supports ADP's white-collar pays-per-control and is consistent with management's Q3 commentary that white-collar segments (IT, professional services) are showing relative strength.</w:t>
      </w:r>
    </w:p>
    <w:p>
      <w:pPr>
        <w:pStyle w:val="ListBullet"/>
        <w:ind w:left="360" w:hanging="360"/>
      </w:pPr>
      <w:r>
        <w:rPr>
          <w:rFonts w:ascii="Calibri" w:hAnsi="Calibri"/>
          <w:b/>
          <w:color w:val="525866"/>
          <w:sz w:val="22"/>
        </w:rPr>
        <w:t xml:space="preserve">Early July trends improving: </w:t>
      </w:r>
      <w:r>
        <w:rPr>
          <w:rFonts w:ascii="Calibri" w:hAnsi="Calibri"/>
          <w:color w:val="525866"/>
          <w:sz w:val="22"/>
        </w:rPr>
        <w:t xml:space="preserve">Revenues for the first two weeks of July were down only 1% YoY (vs. full Q2 down 2%), and permanent placement revenues for the first three weeks of July were up 4% YoY. </w:t>
      </w:r>
      <w:r>
        <w:rPr>
          <w:rFonts w:ascii="Calibri" w:hAnsi="Calibri"/>
          <w:b/>
          <w:color w:val="30A46C"/>
          <w:sz w:val="22"/>
        </w:rPr>
        <w:t xml:space="preserve">ADP read-through: </w:t>
      </w:r>
      <w:r>
        <w:rPr>
          <w:rFonts w:ascii="Calibri" w:hAnsi="Calibri"/>
          <w:color w:val="525866"/>
          <w:sz w:val="22"/>
        </w:rPr>
        <w:t xml:space="preserve"> Positive leading indicator for ADP's FY2027 Q1 (July–September 2026) bookings and pays-per-control environment.</w:t>
      </w:r>
    </w:p>
    <w:p>
      <w:pPr>
        <w:pStyle w:val="ListBullet"/>
        <w:ind w:left="360" w:hanging="360"/>
      </w:pPr>
      <w:r>
        <w:rPr>
          <w:rFonts w:ascii="Calibri" w:hAnsi="Calibri"/>
          <w:b/>
          <w:color w:val="525866"/>
          <w:sz w:val="22"/>
        </w:rPr>
        <w:t xml:space="preserve">AI impacts more benign than feared: </w:t>
      </w:r>
      <w:r>
        <w:rPr>
          <w:rFonts w:ascii="Calibri" w:hAnsi="Calibri"/>
          <w:color w:val="525866"/>
          <w:sz w:val="22"/>
        </w:rPr>
        <w:t xml:space="preserve">RHI noted that 'AI impacts are playing out to be more benign than some had feared,' with growing demand for candidates combining domain expertise with AI fluency. </w:t>
      </w:r>
      <w:r>
        <w:rPr>
          <w:rFonts w:ascii="Calibri" w:hAnsi="Calibri"/>
          <w:b/>
          <w:color w:val="30A46C"/>
          <w:sz w:val="22"/>
        </w:rPr>
        <w:t xml:space="preserve">ADP read-through: </w:t>
      </w:r>
      <w:r>
        <w:rPr>
          <w:rFonts w:ascii="Calibri" w:hAnsi="Calibri"/>
          <w:color w:val="525866"/>
          <w:sz w:val="22"/>
        </w:rPr>
        <w:t xml:space="preserve"> Positive for ADP's thesis that AI augments rather than displaces human labor, reducing the AI disruption risk to ADP's employment-linked revenue streams.</w:t>
      </w:r>
    </w:p>
    <w:p>
      <w:pPr>
        <w:pStyle w:val="ListBullet"/>
        <w:ind w:left="360" w:hanging="360"/>
      </w:pPr>
      <w:r>
        <w:rPr>
          <w:rFonts w:ascii="Calibri" w:hAnsi="Calibri"/>
          <w:b/>
          <w:color w:val="525866"/>
          <w:sz w:val="22"/>
        </w:rPr>
        <w:t xml:space="preserve">Lean client organizations creating demand for specialized talent: </w:t>
      </w:r>
      <w:r>
        <w:rPr>
          <w:rFonts w:ascii="Calibri" w:hAnsi="Calibri"/>
          <w:color w:val="525866"/>
          <w:sz w:val="22"/>
        </w:rPr>
        <w:t xml:space="preserve">Many smaller and mid-sized businesses continue to operate with lean organizations after years of cost discipline; as confidence improves, demand for specialized talent and consulting is increasing. </w:t>
      </w:r>
      <w:r>
        <w:rPr>
          <w:rFonts w:ascii="Calibri" w:hAnsi="Calibri"/>
          <w:b/>
          <w:color w:val="002FA7"/>
          <w:sz w:val="22"/>
        </w:rPr>
        <w:t xml:space="preserve">ADP read-through: </w:t>
      </w:r>
      <w:r>
        <w:rPr>
          <w:rFonts w:ascii="Calibri" w:hAnsi="Calibri"/>
          <w:color w:val="525866"/>
          <w:sz w:val="22"/>
        </w:rPr>
        <w:t xml:space="preserve"> Positive for ADP's mid-market ES bookings environment — lean organizations are more likely to outsource HR and payroll functions.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the Q3 print is benign — the only open-market sale was a small 10b5-1 planned sale by an EVP, and a director made a modest open-market purchase. The July 1 transactions are compensation-related awards (code 'I' = grant/award), not discretionary buys or sells. </w:t>
      </w:r>
      <w:r>
        <w:rPr>
          <w:rFonts w:ascii="Calibri" w:hAnsi="Calibri"/>
          <w:b/>
          <w:color w:val="525866"/>
          <w:sz w:val="22"/>
        </w:rPr>
        <w:t>No clustered selling or unusual activity; no negative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 / 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Black, Maria</w:t>
            </w:r>
          </w:p>
        </w:tc>
        <w:tc>
          <w:tcPr>
            <w:tcW w:type="dxa" w:w="1440"/>
          </w:tcPr>
          <w:p>
            <w:r>
              <w:rPr>
                <w:rFonts w:ascii="Calibri" w:hAnsi="Calibri"/>
                <w:sz w:val="22"/>
              </w:rPr>
              <w:t>President &amp; CEO</w:t>
            </w:r>
          </w:p>
        </w:tc>
        <w:tc>
          <w:tcPr>
            <w:tcW w:type="dxa" w:w="1440"/>
          </w:tcPr>
          <w:p>
            <w:r>
              <w:rPr>
                <w:rFonts w:ascii="Calibri" w:hAnsi="Calibri"/>
                <w:sz w:val="22"/>
              </w:rPr>
              <w:t>Award / Grant (Code I)</w:t>
            </w:r>
          </w:p>
        </w:tc>
        <w:tc>
          <w:tcPr>
            <w:tcW w:type="dxa" w:w="1440"/>
          </w:tcPr>
          <w:p>
            <w:r>
              <w:rPr>
                <w:rFonts w:ascii="Calibri" w:hAnsi="Calibri"/>
                <w:sz w:val="22"/>
              </w:rPr>
              <w:t>$49.43/share; ~award</w:t>
            </w:r>
          </w:p>
        </w:tc>
        <w:tc>
          <w:tcPr>
            <w:tcW w:type="dxa" w:w="1440"/>
          </w:tcPr>
          <w:p>
            <w:r>
              <w:rPr>
                <w:rFonts w:ascii="Calibri" w:hAnsi="Calibri"/>
                <w:sz w:val="22"/>
              </w:rPr>
              <w:t>July 1, 2026</w:t>
            </w:r>
          </w:p>
        </w:tc>
        <w:tc>
          <w:tcPr>
            <w:tcW w:type="dxa" w:w="1440"/>
          </w:tcPr>
          <w:p>
            <w:r>
              <w:rPr>
                <w:rFonts w:ascii="Calibri" w:hAnsi="Calibri"/>
                <w:sz w:val="22"/>
              </w:rPr>
              <w:t>Compensation-related grant; not a discretionary open-market transaction. Owns ~75,101 shares post-award.</w:t>
            </w:r>
          </w:p>
        </w:tc>
      </w:tr>
      <w:tr>
        <w:tc>
          <w:tcPr>
            <w:tcW w:type="dxa" w:w="1440"/>
          </w:tcPr>
          <w:p>
            <w:r>
              <w:rPr>
                <w:rFonts w:ascii="Calibri" w:hAnsi="Calibri"/>
                <w:sz w:val="22"/>
              </w:rPr>
              <w:t>Foskett, David</w:t>
            </w:r>
          </w:p>
        </w:tc>
        <w:tc>
          <w:tcPr>
            <w:tcW w:type="dxa" w:w="1440"/>
          </w:tcPr>
          <w:p>
            <w:r>
              <w:rPr>
                <w:rFonts w:ascii="Calibri" w:hAnsi="Calibri"/>
                <w:sz w:val="22"/>
              </w:rPr>
              <w:t>Corporate VP</w:t>
            </w:r>
          </w:p>
        </w:tc>
        <w:tc>
          <w:tcPr>
            <w:tcW w:type="dxa" w:w="1440"/>
          </w:tcPr>
          <w:p>
            <w:r>
              <w:rPr>
                <w:rFonts w:ascii="Calibri" w:hAnsi="Calibri"/>
                <w:sz w:val="22"/>
              </w:rPr>
              <w:t>Award / Grant (Code I)</w:t>
            </w:r>
          </w:p>
        </w:tc>
        <w:tc>
          <w:tcPr>
            <w:tcW w:type="dxa" w:w="1440"/>
          </w:tcPr>
          <w:p>
            <w:r>
              <w:rPr>
                <w:rFonts w:ascii="Calibri" w:hAnsi="Calibri"/>
                <w:sz w:val="22"/>
              </w:rPr>
              <w:t>$49.43/share; ~award</w:t>
            </w:r>
          </w:p>
        </w:tc>
        <w:tc>
          <w:tcPr>
            <w:tcW w:type="dxa" w:w="1440"/>
          </w:tcPr>
          <w:p>
            <w:r>
              <w:rPr>
                <w:rFonts w:ascii="Calibri" w:hAnsi="Calibri"/>
                <w:sz w:val="22"/>
              </w:rPr>
              <w:t>July 1, 2026</w:t>
            </w:r>
          </w:p>
        </w:tc>
        <w:tc>
          <w:tcPr>
            <w:tcW w:type="dxa" w:w="1440"/>
          </w:tcPr>
          <w:p>
            <w:r>
              <w:rPr>
                <w:rFonts w:ascii="Calibri" w:hAnsi="Calibri"/>
                <w:sz w:val="22"/>
              </w:rPr>
              <w:t>Compensation-related grant; not a discretionary open-market transaction. Owns ~11,003 shares post-award.</w:t>
            </w:r>
          </w:p>
        </w:tc>
      </w:tr>
      <w:tr>
        <w:tc>
          <w:tcPr>
            <w:tcW w:type="dxa" w:w="1440"/>
          </w:tcPr>
          <w:p>
            <w:r>
              <w:rPr>
                <w:rFonts w:ascii="Calibri" w:hAnsi="Calibri"/>
                <w:sz w:val="22"/>
              </w:rPr>
              <w:t>Michaud, Brian L.</w:t>
            </w:r>
          </w:p>
        </w:tc>
        <w:tc>
          <w:tcPr>
            <w:tcW w:type="dxa" w:w="1440"/>
          </w:tcPr>
          <w:p>
            <w:r>
              <w:rPr>
                <w:rFonts w:ascii="Calibri" w:hAnsi="Calibri"/>
                <w:sz w:val="22"/>
              </w:rPr>
              <w:t>Executive VP</w:t>
            </w:r>
          </w:p>
        </w:tc>
        <w:tc>
          <w:tcPr>
            <w:tcW w:type="dxa" w:w="1440"/>
          </w:tcPr>
          <w:p>
            <w:r>
              <w:rPr>
                <w:rFonts w:ascii="Calibri" w:hAnsi="Calibri"/>
                <w:sz w:val="22"/>
              </w:rPr>
              <w:t>Award / Grant (Code I)</w:t>
            </w:r>
          </w:p>
        </w:tc>
        <w:tc>
          <w:tcPr>
            <w:tcW w:type="dxa" w:w="1440"/>
          </w:tcPr>
          <w:p>
            <w:r>
              <w:rPr>
                <w:rFonts w:ascii="Calibri" w:hAnsi="Calibri"/>
                <w:sz w:val="22"/>
              </w:rPr>
              <w:t>$49.43/share; ~award</w:t>
            </w:r>
          </w:p>
        </w:tc>
        <w:tc>
          <w:tcPr>
            <w:tcW w:type="dxa" w:w="1440"/>
          </w:tcPr>
          <w:p>
            <w:r>
              <w:rPr>
                <w:rFonts w:ascii="Calibri" w:hAnsi="Calibri"/>
                <w:sz w:val="22"/>
              </w:rPr>
              <w:t>July 1, 2026</w:t>
            </w:r>
          </w:p>
        </w:tc>
        <w:tc>
          <w:tcPr>
            <w:tcW w:type="dxa" w:w="1440"/>
          </w:tcPr>
          <w:p>
            <w:r>
              <w:rPr>
                <w:rFonts w:ascii="Calibri" w:hAnsi="Calibri"/>
                <w:sz w:val="22"/>
              </w:rPr>
              <w:t>Compensation-related grant; not a discretionary open-market transaction. Owns ~14,512 shares post-award.</w:t>
            </w:r>
          </w:p>
        </w:tc>
      </w:tr>
      <w:tr>
        <w:tc>
          <w:tcPr>
            <w:tcW w:type="dxa" w:w="1440"/>
          </w:tcPr>
          <w:p>
            <w:r>
              <w:rPr>
                <w:rFonts w:ascii="Calibri" w:hAnsi="Calibri"/>
                <w:sz w:val="22"/>
              </w:rPr>
              <w:t>Michaud, Brian L.</w:t>
            </w:r>
          </w:p>
        </w:tc>
        <w:tc>
          <w:tcPr>
            <w:tcW w:type="dxa" w:w="1440"/>
          </w:tcPr>
          <w:p>
            <w:r>
              <w:rPr>
                <w:rFonts w:ascii="Calibri" w:hAnsi="Calibri"/>
                <w:sz w:val="22"/>
              </w:rPr>
              <w:t>Executive VP</w:t>
            </w:r>
          </w:p>
        </w:tc>
        <w:tc>
          <w:tcPr>
            <w:tcW w:type="dxa" w:w="1440"/>
          </w:tcPr>
          <w:p>
            <w:r>
              <w:rPr>
                <w:rFonts w:ascii="Calibri" w:hAnsi="Calibri"/>
                <w:sz w:val="22"/>
              </w:rPr>
              <w:t>10b5-1 Planned Sale</w:t>
            </w:r>
          </w:p>
        </w:tc>
        <w:tc>
          <w:tcPr>
            <w:tcW w:type="dxa" w:w="1440"/>
          </w:tcPr>
          <w:p>
            <w:r>
              <w:rPr>
                <w:rFonts w:ascii="Calibri" w:hAnsi="Calibri"/>
                <w:sz w:val="22"/>
              </w:rPr>
              <w:t>848 shares sold</w:t>
            </w:r>
          </w:p>
        </w:tc>
        <w:tc>
          <w:tcPr>
            <w:tcW w:type="dxa" w:w="1440"/>
          </w:tcPr>
          <w:p>
            <w:r>
              <w:rPr>
                <w:rFonts w:ascii="Calibri" w:hAnsi="Calibri"/>
                <w:sz w:val="22"/>
              </w:rPr>
              <w:t>May 8, 2026</w:t>
            </w:r>
          </w:p>
        </w:tc>
        <w:tc>
          <w:tcPr>
            <w:tcW w:type="dxa" w:w="1440"/>
          </w:tcPr>
          <w:p>
            <w:r>
              <w:rPr>
                <w:rFonts w:ascii="Calibri" w:hAnsi="Calibri"/>
                <w:sz w:val="22"/>
              </w:rPr>
              <w:t>Pre-arranged 10b5-1 plan sale; obligation-driven, not discretionary. Filed May 11, 2026.</w:t>
            </w:r>
          </w:p>
        </w:tc>
      </w:tr>
      <w:tr>
        <w:tc>
          <w:tcPr>
            <w:tcW w:type="dxa" w:w="1440"/>
          </w:tcPr>
          <w:p>
            <w:r>
              <w:rPr>
                <w:rFonts w:ascii="Calibri" w:hAnsi="Calibri"/>
                <w:sz w:val="22"/>
              </w:rPr>
              <w:t>Swan, Robert Holmes</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3,619 shares purchased</w:t>
            </w:r>
          </w:p>
        </w:tc>
        <w:tc>
          <w:tcPr>
            <w:tcW w:type="dxa" w:w="1440"/>
          </w:tcPr>
          <w:p>
            <w:r>
              <w:rPr>
                <w:rFonts w:ascii="Calibri" w:hAnsi="Calibri"/>
                <w:sz w:val="22"/>
              </w:rPr>
              <w:t>May 7, 2026</w:t>
            </w:r>
          </w:p>
        </w:tc>
        <w:tc>
          <w:tcPr>
            <w:tcW w:type="dxa" w:w="1440"/>
          </w:tcPr>
          <w:p>
            <w:r>
              <w:rPr>
                <w:rFonts w:ascii="Calibri" w:hAnsi="Calibri"/>
                <w:sz w:val="22"/>
              </w:rPr>
              <w:t>Discretionary open-market purchase; owns 5,072 shares post-transaction. Modest positive signal. Filed May 11, 2026.</w:t>
            </w:r>
          </w:p>
        </w:tc>
      </w:tr>
    </w:tbl>
    <w:p>
      <w:r>
        <w:rPr>
          <w:rFonts w:ascii="Calibri" w:hAnsi="Calibri"/>
          <w:i/>
          <w:color w:val="525866"/>
          <w:sz w:val="22"/>
        </w:rPr>
        <w:t>Source: Insider Transaction Data (SEC Form 4 filings). Open-market buys and sells only (Form 4 codes P/S) plus disclosed 10b5-1 plan initiations. Code 'I' transactions (grants/awards) are included for completeness but are not discretionary market signals.</w:t>
      </w:r>
    </w:p>
    <w:p>
      <w:r>
        <w:rPr>
          <w:rFonts w:ascii="Calibri" w:hAnsi="Calibri"/>
          <w:color w:val="525866"/>
          <w:sz w:val="22"/>
        </w:rPr>
        <w:t>The only notable discretionary transaction is Director Swan's open-market purchase of 3,619 shares on May 7, 2026 — a modest but positive signal from a board member buying at ~$214/share shortly after the Q3 earnings beat. The EVP Michaud sale was pre-arranged under a 10b5-1 plan and carries no informational content about management's view of the upcoming print.</w:t>
      </w:r>
    </w:p>
    <w:p>
      <w:r>
        <w:br w:type="page"/>
      </w:r>
    </w:p>
    <w:p>
      <w:pPr>
        <w:pStyle w:val="Heading2"/>
      </w:pPr>
      <w:r>
        <w:rPr>
          <w:rFonts w:ascii="Calibri" w:hAnsi="Calibri"/>
          <w:b/>
          <w:color w:val="3B4259"/>
          <w:sz w:val="28"/>
        </w:rPr>
        <w:t>Disclosures &amp; 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and historical actuals (Tables 1, 2, and Guidance vs. Estimate Revision Tracker).</w:t>
      </w:r>
    </w:p>
    <w:p>
      <w:pPr>
        <w:pStyle w:val="ListBullet"/>
        <w:ind w:left="360" w:hanging="360"/>
      </w:pPr>
      <w:r>
        <w:rPr>
          <w:rFonts w:ascii="Calibri" w:hAnsi="Calibri"/>
          <w:b/>
          <w:color w:val="525866"/>
          <w:sz w:val="22"/>
        </w:rPr>
        <w:t>ADP Q3 FY2026 Earnings Call Transcript</w:t>
      </w:r>
      <w:r>
        <w:rPr>
          <w:rFonts w:ascii="Calibri" w:hAnsi="Calibri"/>
          <w:color w:val="525866"/>
          <w:sz w:val="22"/>
        </w:rPr>
        <w:t xml:space="preserve"> (April 29, 2026) — guidance figures, management commentary, and tone analysis.</w:t>
      </w:r>
    </w:p>
    <w:p>
      <w:pPr>
        <w:pStyle w:val="ListBullet"/>
        <w:ind w:left="360" w:hanging="360"/>
      </w:pPr>
      <w:r>
        <w:rPr>
          <w:rFonts w:ascii="Calibri" w:hAnsi="Calibri"/>
          <w:b/>
          <w:color w:val="525866"/>
          <w:sz w:val="22"/>
        </w:rPr>
        <w:t>ADP Q3 FY2026 Earnings Release</w:t>
      </w:r>
      <w:r>
        <w:rPr>
          <w:rFonts w:ascii="Calibri" w:hAnsi="Calibri"/>
          <w:color w:val="525866"/>
          <w:sz w:val="22"/>
        </w:rPr>
        <w:t xml:space="preserve"> (April 29, 2026) — reported actuals for Q3 FY2026.</w:t>
      </w:r>
    </w:p>
    <w:p>
      <w:pPr>
        <w:pStyle w:val="ListBullet"/>
        <w:ind w:left="360" w:hanging="360"/>
      </w:pPr>
      <w:r>
        <w:rPr>
          <w:rFonts w:ascii="Calibri" w:hAnsi="Calibri"/>
          <w:b/>
          <w:color w:val="525866"/>
          <w:sz w:val="22"/>
        </w:rPr>
        <w:t>ADP 8-K Filings</w:t>
      </w:r>
      <w:r>
        <w:rPr>
          <w:rFonts w:ascii="Calibri" w:hAnsi="Calibri"/>
          <w:color w:val="525866"/>
          <w:sz w:val="22"/>
        </w:rPr>
        <w:t xml:space="preserve"> — May 7, 2026 ($1B Senior Notes); June 26, 2026 ($9.2B Credit Facilities).</w:t>
      </w:r>
    </w:p>
    <w:p>
      <w:pPr>
        <w:pStyle w:val="ListBullet"/>
        <w:ind w:left="360" w:hanging="360"/>
      </w:pPr>
      <w:r>
        <w:rPr>
          <w:rFonts w:ascii="Calibri" w:hAnsi="Calibri"/>
          <w:b/>
          <w:color w:val="525866"/>
          <w:sz w:val="22"/>
        </w:rPr>
        <w:t>ADP National Employment Report</w:t>
      </w:r>
      <w:r>
        <w:rPr>
          <w:rFonts w:ascii="Calibri" w:hAnsi="Calibri"/>
          <w:color w:val="525866"/>
          <w:sz w:val="22"/>
        </w:rPr>
        <w:t xml:space="preserve"> — June 2026 monthly report (July 1, 2026); NER Pulse weekly data through July 11, 2026 (July 28, 2026).</w:t>
      </w:r>
    </w:p>
    <w:p>
      <w:pPr>
        <w:pStyle w:val="ListBullet"/>
        <w:ind w:left="360" w:hanging="360"/>
      </w:pPr>
      <w:r>
        <w:rPr>
          <w:rFonts w:ascii="Calibri" w:hAnsi="Calibri"/>
          <w:b/>
          <w:color w:val="525866"/>
          <w:sz w:val="22"/>
        </w:rPr>
        <w:t>Peer Earnings Transcripts</w:t>
      </w:r>
      <w:r>
        <w:rPr>
          <w:rFonts w:ascii="Calibri" w:hAnsi="Calibri"/>
          <w:color w:val="525866"/>
          <w:sz w:val="22"/>
        </w:rPr>
        <w:t xml:space="preserve"> — Paychex Q4 FY2026 (June 24, 2026); ManpowerGroup Q2 2026 (July 16, 2026); Robert Half Q2 2026 (July 23, 2026); Korn Ferry Q4 FY2026 (June 23, 2026).</w:t>
      </w:r>
    </w:p>
    <w:p>
      <w:pPr>
        <w:pStyle w:val="ListBullet"/>
        <w:ind w:left="360" w:hanging="360"/>
      </w:pPr>
      <w:r>
        <w:rPr>
          <w:rFonts w:ascii="Calibri" w:hAnsi="Calibri"/>
          <w:b/>
          <w:color w:val="525866"/>
          <w:sz w:val="22"/>
        </w:rPr>
        <w:t>Insider Transaction Data</w:t>
      </w:r>
      <w:r>
        <w:rPr>
          <w:rFonts w:ascii="Calibri" w:hAnsi="Calibri"/>
          <w:color w:val="525866"/>
          <w:sz w:val="22"/>
        </w:rPr>
        <w:t xml:space="preserve"> — SEC Form 4 filings for ADP insiders (April 29 – July 28, 2026).</w:t>
      </w:r>
    </w:p>
    <w:p>
      <w:pPr>
        <w:pStyle w:val="ListBullet"/>
        <w:ind w:left="360" w:hanging="360"/>
      </w:pPr>
      <w:r>
        <w:rPr>
          <w:rFonts w:ascii="Calibri" w:hAnsi="Calibri"/>
          <w:b/>
          <w:color w:val="525866"/>
          <w:sz w:val="22"/>
        </w:rPr>
        <w:t>Stock Price Data</w:t>
      </w:r>
      <w:r>
        <w:rPr>
          <w:rFonts w:ascii="Calibri" w:hAnsi="Calibri"/>
          <w:color w:val="525866"/>
          <w:sz w:val="22"/>
        </w:rPr>
        <w:t xml:space="preserve"> — Yahoo Finance via quantitative data platform; indexed performance chart covers April 29 – July 29, 2026.</w:t>
      </w:r>
    </w:p>
    <w:p>
      <w:pPr>
        <w:pStyle w:val="ListBullet"/>
        <w:ind w:left="360" w:hanging="360"/>
      </w:pPr>
      <w:r>
        <w:rPr>
          <w:rFonts w:ascii="Calibri" w:hAnsi="Calibri"/>
          <w:i/>
          <w:color w:val="525866"/>
          <w:sz w:val="22"/>
        </w:rPr>
        <w:t>This document is prepared for informational purposes only and does not constitute investment advice. All estimates are consensus figures from Visible Alpha and may differ from actual results.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