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AEE (Ameren Corporation) before writing the preview. Let me gather recent earnings materials, filings, news, and price data.Let me read the most recent earnings materials (Q1 2026) for guidance and key themes.Let me get the Q2 2025 comparison quarter and any recent news/analyst estimates.Let me read the Q2 2025 release for the YoY comparison base and grab consensus estimates via web search.I have enough to write the preview. Here it is.</w:t>
      </w:r>
    </w:p>
    <w:p>
      <w:r>
        <w:pict>
          <v:rect style="width:0;height:1.5pt" o:hralign="center" o:hrstd="t" o:hr="t"/>
        </w:pict>
      </w:r>
    </w:p>
    <w:bookmarkStart w:id="20" w:name="Xcb3c60a7c57d0de774cd3b3fbb2dd2254737e69"/>
    <w:p>
      <w:pPr>
        <w:pStyle w:val="Heading1"/>
      </w:pPr>
      <w:r>
        <w:t xml:space="preserve">Ameren Corporation (AEE) — Q2 2026 Earnings Preview</w:t>
      </w:r>
    </w:p>
    <w:p>
      <w:pPr>
        <w:pStyle w:val="FirstParagraph"/>
      </w:pPr>
      <w:r>
        <w:rPr>
          <w:b/>
          <w:bCs/>
        </w:rPr>
        <w:t xml:space="preserve">Report timing:</w:t>
      </w:r>
      <w:r>
        <w:t xml:space="preserve"> </w:t>
      </w:r>
      <w:r>
        <w:t xml:space="preserve">Results due after the close on</w:t>
      </w:r>
      <w:r>
        <w:t xml:space="preserve"> </w:t>
      </w:r>
      <w:r>
        <w:rPr>
          <w:b/>
          <w:bCs/>
        </w:rPr>
        <w:t xml:space="preserve">Wednesday, July 30, 2026</w:t>
      </w:r>
      <w:r>
        <w:t xml:space="preserve">, with the analyst call the following morning (9:00 a.m. CT), consistent with Ameren's usual cadence.</w:t>
      </w:r>
      <w:r>
        <w:t xml:space="preserve"> </w:t>
      </w:r>
      <w:r>
        <w:rPr>
          <w:b/>
          <w:bCs/>
        </w:rPr>
        <w:t xml:space="preserve">Current price:</w:t>
      </w:r>
      <w:r>
        <w:t xml:space="preserve"> </w:t>
      </w:r>
      <w:r>
        <w:t xml:space="preserve">~$109.90 (7/29 close) |</w:t>
      </w:r>
      <w:r>
        <w:t xml:space="preserve"> </w:t>
      </w:r>
      <w:r>
        <w:rPr>
          <w:b/>
          <w:bCs/>
        </w:rPr>
        <w:t xml:space="preserve">2026 EPS guidance:</w:t>
      </w:r>
      <w:r>
        <w:t xml:space="preserve"> </w:t>
      </w:r>
      <m:oMath>
        <m:r>
          <m:t>5.25</m:t>
        </m:r>
        <m:r>
          <m:rPr>
            <m:sty m:val="p"/>
          </m:rPr>
          <m:t>–</m:t>
        </m:r>
      </m:oMath>
      <w:r>
        <w:t xml:space="preserve">5.45</w:t>
      </w:r>
    </w:p>
    <w:p>
      <w:r>
        <w:pict>
          <v:rect style="width:0;height:1.5pt" o:hralign="center" o:hrstd="t" o:hr="t"/>
        </w:pict>
      </w:r>
    </w:p>
    <w:bookmarkStart w:id="9" w:name="the-setup"/>
    <w:p>
      <w:pPr>
        <w:pStyle w:val="Heading2"/>
      </w:pPr>
      <w:r>
        <w:t xml:space="preserve">The Setup</w:t>
      </w:r>
    </w:p>
    <w:p>
      <w:pPr>
        <w:pStyle w:val="FirstParagraph"/>
      </w:pPr>
      <w:r>
        <w:t xml:space="preserve">Ameren is a low-drama, regulated pure-play utility (Missouri + Illinois electric, gas, and transmission) whose stock has quietly outperformed the group in 2026. AEE is up roughly</w:t>
      </w:r>
      <w:r>
        <w:t xml:space="preserve"> </w:t>
      </w:r>
      <w:r>
        <w:rPr>
          <w:b/>
          <w:bCs/>
        </w:rPr>
        <w:t xml:space="preserve">+9% YTD</w:t>
      </w:r>
      <w:r>
        <w:t xml:space="preserve"> </w:t>
      </w:r>
      <w:r>
        <w:t xml:space="preserve">(from ~</w:t>
      </w:r>
      <m:oMath>
        <m:r>
          <m:t>100.86</m:t>
        </m:r>
        <m:r>
          <m:t>t</m:t>
        </m:r>
        <m:r>
          <m:t>o</m:t>
        </m:r>
        <m:r>
          <m:t> </m:t>
        </m:r>
      </m:oMath>
      <w:r>
        <w:t xml:space="preserve">109.90), versus about</w:t>
      </w:r>
      <w:r>
        <w:t xml:space="preserve"> </w:t>
      </w:r>
      <w:r>
        <w:rPr>
          <w:b/>
          <w:bCs/>
        </w:rPr>
        <w:t xml:space="preserve">+3.7%</w:t>
      </w:r>
      <w:r>
        <w:t xml:space="preserve"> </w:t>
      </w:r>
      <w:r>
        <w:t xml:space="preserve">for the utility sector proxy (XLU). Notably, the stock ran to a June high near</w:t>
      </w:r>
      <w:r>
        <w:t xml:space="preserve"> </w:t>
      </w:r>
      <w:r>
        <w:rPr>
          <w:b/>
          <w:bCs/>
        </w:rPr>
        <w:t xml:space="preserve">$118</w:t>
      </w:r>
      <w:r>
        <w:t xml:space="preserve"> </w:t>
      </w:r>
      <w:r>
        <w:t xml:space="preserve">before pulling back ~7%, including a ~2.3% drop the session before the print — so expectations have cooled somewhat into the quarter.</w:t>
      </w:r>
    </w:p>
    <w:p>
      <w:pPr>
        <w:pStyle w:val="BodyText"/>
      </w:pPr>
      <w:r>
        <w:t xml:space="preserve">The story here is not the Q2 number itself (Q2 is seasonally the smallest quarter). It's the</w:t>
      </w:r>
      <w:r>
        <w:t xml:space="preserve"> </w:t>
      </w:r>
      <w:r>
        <w:rPr>
          <w:b/>
          <w:bCs/>
        </w:rPr>
        <w:t xml:space="preserve">data-center-driven load growth narrative</w:t>
      </w:r>
      <w:r>
        <w:t xml:space="preserve">, the</w:t>
      </w:r>
      <w:r>
        <w:t xml:space="preserve"> </w:t>
      </w:r>
      <w:r>
        <w:rPr>
          <w:b/>
          <w:bCs/>
        </w:rPr>
        <w:t xml:space="preserve">generation build-out</w:t>
      </w:r>
      <w:r>
        <w:t xml:space="preserve">, and whether management nudges guidance and the growth algorithm higher ahead of a pivotal September IRP filing.</w:t>
      </w:r>
    </w:p>
    <w:p>
      <w:r>
        <w:pict>
          <v:rect style="width:0;height:1.5pt" o:hralign="center" o:hrstd="t" o:hr="t"/>
        </w:pict>
      </w:r>
    </w:p>
    <w:bookmarkEnd w:id="9"/>
    <w:bookmarkStart w:id="10"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c>
          <w:tcPr/>
          <w:p>
            <w:pPr>
              <w:pStyle w:val="Compact"/>
            </w:pPr>
            <w:r>
              <w:t xml:space="preserve">Implied YoY</w:t>
            </w:r>
          </w:p>
        </w:tc>
      </w:tr>
      <w:tr>
        <w:tc>
          <w:tcPr/>
          <w:p>
            <w:pPr>
              <w:pStyle w:val="Compact"/>
            </w:pPr>
            <w:r>
              <w:t xml:space="preserve">Diluted EPS</w:t>
            </w:r>
          </w:p>
        </w:tc>
        <w:tc>
          <w:tcPr/>
          <w:p>
            <w:pPr>
              <w:pStyle w:val="Compact"/>
            </w:pPr>
            <w:r>
              <w:t xml:space="preserve">~</w:t>
            </w:r>
            <m:oMath>
              <m:r>
                <m:t>1.08</m:t>
              </m:r>
              <m:r>
                <m:rPr>
                  <m:sty m:val="p"/>
                </m:rPr>
                <m:t>(</m:t>
              </m:r>
              <m:r>
                <m:t>Z</m:t>
              </m:r>
              <m:r>
                <m:t>a</m:t>
              </m:r>
              <m:r>
                <m:t>c</m:t>
              </m:r>
              <m:r>
                <m:t>k</m:t>
              </m:r>
              <m:r>
                <m:t>s</m:t>
              </m:r>
              <m:r>
                <m:rPr>
                  <m:sty m:val="p"/>
                </m:rPr>
                <m:t>)</m:t>
              </m:r>
              <m:r>
                <m:rPr>
                  <m:sty m:val="p"/>
                </m:rPr>
                <m:t>;</m:t>
              </m:r>
              <m:r>
                <m:t>s</m:t>
              </m:r>
              <m:r>
                <m:t>o</m:t>
              </m:r>
              <m:r>
                <m:t>m</m:t>
              </m:r>
              <m:r>
                <m:t>e</m:t>
              </m:r>
              <m:r>
                <m:t>e</m:t>
              </m:r>
              <m:r>
                <m:t>s</m:t>
              </m:r>
              <m:r>
                <m:t>t</m:t>
              </m:r>
              <m:r>
                <m:t>i</m:t>
              </m:r>
              <m:r>
                <m:t>m</m:t>
              </m:r>
              <m:r>
                <m:t>a</m:t>
              </m:r>
              <m:r>
                <m:t>t</m:t>
              </m:r>
              <m:r>
                <m:t>e</m:t>
              </m:r>
              <m:r>
                <m:t>s</m:t>
              </m:r>
              <m:r>
                <m:t> </m:t>
              </m:r>
            </m:oMath>
            <w:r>
              <w:t xml:space="preserve">1.04</w:t>
            </w:r>
          </w:p>
        </w:tc>
        <w:tc>
          <w:tcPr/>
          <w:p>
            <w:pPr>
              <w:pStyle w:val="Compact"/>
            </w:pPr>
            <w:r>
              <w:t xml:space="preserve">$1.01</w:t>
            </w:r>
          </w:p>
        </w:tc>
        <w:tc>
          <w:tcPr/>
          <w:p>
            <w:pPr>
              <w:pStyle w:val="Compact"/>
            </w:pPr>
            <w:r>
              <w:t xml:space="preserve">+3% to +7%</w:t>
            </w:r>
          </w:p>
        </w:tc>
      </w:tr>
      <w:tr>
        <w:tc>
          <w:tcPr/>
          <w:p>
            <w:pPr>
              <w:pStyle w:val="Compact"/>
            </w:pPr>
            <w:r>
              <w:t xml:space="preserve">Revenue</w:t>
            </w:r>
          </w:p>
        </w:tc>
        <w:tc>
          <w:tcPr/>
          <w:p>
            <w:pPr>
              <w:pStyle w:val="Compact"/>
            </w:pPr>
            <w:r>
              <w:t xml:space="preserve">~$2.40B</w:t>
            </w:r>
          </w:p>
        </w:tc>
        <w:tc>
          <w:tcPr/>
          <w:p>
            <w:pPr>
              <w:pStyle w:val="Compact"/>
            </w:pPr>
            <w:r>
              <w:t xml:space="preserve">$2.22B</w:t>
            </w:r>
          </w:p>
        </w:tc>
        <w:tc>
          <w:tcPr/>
          <w:p>
            <w:pPr>
              <w:pStyle w:val="Compact"/>
            </w:pPr>
            <w:r>
              <w:t xml:space="preserve">+8.3%</w:t>
            </w:r>
          </w:p>
        </w:tc>
      </w:tr>
    </w:tbl>
    <w:p>
      <w:pPr>
        <w:pStyle w:val="Compact"/>
        <w:numPr>
          <w:ilvl w:val="0"/>
          <w:numId w:val="1001"/>
        </w:numPr>
      </w:pPr>
      <w:r>
        <w:rPr>
          <w:b/>
          <w:bCs/>
        </w:rPr>
        <w:t xml:space="preserve">Full-year guidance:</w:t>
      </w:r>
      <w:r>
        <w:t xml:space="preserve"> </w:t>
      </w:r>
      <m:oMath>
        <m:r>
          <m:t>5.25</m:t>
        </m:r>
        <m:r>
          <m:rPr>
            <m:sty m:val="p"/>
          </m:rPr>
          <m:t>–</m:t>
        </m:r>
      </m:oMath>
      <w:r>
        <w:t xml:space="preserve">5.45. Ameren delivered ~8.6% adjusted EPS growth in 2025 and targets</w:t>
      </w:r>
      <w:r>
        <w:t xml:space="preserve"> </w:t>
      </w:r>
      <w:r>
        <w:rPr>
          <w:b/>
          <w:bCs/>
        </w:rPr>
        <w:t xml:space="preserve">6–8% EPS CAGR through 2030, "consistently near the upper end."</w:t>
      </w:r>
    </w:p>
    <w:p>
      <w:pPr>
        <w:pStyle w:val="Compact"/>
        <w:numPr>
          <w:ilvl w:val="0"/>
          <w:numId w:val="1001"/>
        </w:numPr>
      </w:pPr>
      <w:r>
        <w:rPr>
          <w:b/>
          <w:bCs/>
        </w:rPr>
        <w:t xml:space="preserve">Recent estimate momentum is positive:</w:t>
      </w:r>
      <w:r>
        <w:t xml:space="preserve"> </w:t>
      </w:r>
      <w:r>
        <w:t xml:space="preserve">KeyCorp recently raised its FY2026 estimate to $5.39 (Overweight, $122 PT).</w:t>
      </w:r>
    </w:p>
    <w:p>
      <w:pPr>
        <w:pStyle w:val="Compact"/>
        <w:numPr>
          <w:ilvl w:val="0"/>
          <w:numId w:val="1001"/>
        </w:numPr>
      </w:pPr>
      <w:r>
        <w:rPr>
          <w:b/>
          <w:bCs/>
        </w:rPr>
        <w:t xml:space="preserve">Track record:</w:t>
      </w:r>
      <w:r>
        <w:t xml:space="preserve"> </w:t>
      </w:r>
      <w:r>
        <w:t xml:space="preserve">Q1 2026 was a clean beat —</w:t>
      </w:r>
      <w:r>
        <w:t xml:space="preserve"> </w:t>
      </w:r>
      <m:oMath>
        <m:r>
          <m:t>1.28</m:t>
        </m:r>
        <m:r>
          <m:t>v</m:t>
        </m:r>
        <m:r>
          <m:t>s</m:t>
        </m:r>
        <m:r>
          <m:rPr>
            <m:sty m:val="p"/>
          </m:rPr>
          <m:t>.</m:t>
        </m:r>
        <m:r>
          <m:t> </m:t>
        </m:r>
      </m:oMath>
      <w:r>
        <w:rPr>
          <w:b/>
          <w:bCs/>
        </w:rPr>
        <w:t xml:space="preserve">1.17 consensus</w:t>
      </w:r>
      <w:r>
        <w:t xml:space="preserve"> </w:t>
      </w:r>
      <w:r>
        <w:t xml:space="preserve">— and management has met or beaten in recent quarters.</w:t>
      </w:r>
    </w:p>
    <w:p>
      <w:r>
        <w:pict>
          <v:rect style="width:0;height:1.5pt" o:hralign="center" o:hrstd="t" o:hr="t"/>
        </w:pict>
      </w:r>
    </w:p>
    <w:bookmarkEnd w:id="10"/>
    <w:bookmarkStart w:id="11" w:name="q1-recap-context-for-the-trajectory"/>
    <w:p>
      <w:pPr>
        <w:pStyle w:val="Heading2"/>
      </w:pPr>
      <w:r>
        <w:t xml:space="preserve">Q1 Recap (context for the trajectory)</w:t>
      </w:r>
    </w:p>
    <w:p>
      <w:pPr>
        <w:pStyle w:val="FirstParagraph"/>
      </w:pPr>
      <w:r>
        <w:t xml:space="preserve">Q1 2026 EPS was</w:t>
      </w:r>
      <w:r>
        <w:t xml:space="preserve"> </w:t>
      </w:r>
      <w:r>
        <w:rPr>
          <w:b/>
          <w:bCs/>
        </w:rPr>
        <w:t xml:space="preserve">$1.28 vs. $1.07</w:t>
      </w:r>
      <w:r>
        <w:t xml:space="preserve"> </w:t>
      </w:r>
      <w:r>
        <w:t xml:space="preserve">a year earlier, driven by earnings on infrastructure investment across all four segments. Segment earnings: Missouri $76M (vs. $42M), Transmission $98M (vs. $89M), Illinois Electric Distribution $66M (vs. $63M), Illinois Natural Gas $122M (vs. $108M). The main offset was</w:t>
      </w:r>
      <w:r>
        <w:t xml:space="preserve"> </w:t>
      </w:r>
      <w:r>
        <w:rPr>
          <w:b/>
          <w:bCs/>
        </w:rPr>
        <w:t xml:space="preserve">warmer-than-normal winter weather</w:t>
      </w:r>
      <w:r>
        <w:t xml:space="preserve"> </w:t>
      </w:r>
      <w:r>
        <w:t xml:space="preserve">hurting Missouri electric retail sales, plus higher interest expense. Guidance was reaffirmed.</w:t>
      </w:r>
    </w:p>
    <w:p>
      <w:r>
        <w:pict>
          <v:rect style="width:0;height:1.5pt" o:hralign="center" o:hrstd="t" o:hr="t"/>
        </w:pict>
      </w:r>
    </w:p>
    <w:bookmarkEnd w:id="11"/>
    <w:bookmarkStart w:id="18" w:name="key-things-to-watch-on-this-print"/>
    <w:p>
      <w:pPr>
        <w:pStyle w:val="Heading2"/>
      </w:pPr>
      <w:r>
        <w:t xml:space="preserve">Key Things to Watch on This Print</w:t>
      </w:r>
    </w:p>
    <w:bookmarkStart w:id="12" w:name="Xac9a03341f873f05ee2fba443238ce070ef2f06"/>
    <w:p>
      <w:pPr>
        <w:pStyle w:val="Heading3"/>
      </w:pPr>
      <w:r>
        <w:t xml:space="preserve">1. Data-center / large-load momentum (the main catalyst)</w:t>
      </w:r>
    </w:p>
    <w:p>
      <w:pPr>
        <w:pStyle w:val="FirstParagraph"/>
      </w:pPr>
      <w:r>
        <w:t xml:space="preserve">This is the swing factor for the multiple. Recap of the moving pieces:</w:t>
      </w:r>
    </w:p>
    <w:p>
      <w:pPr>
        <w:pStyle w:val="Compact"/>
        <w:numPr>
          <w:ilvl w:val="0"/>
          <w:numId w:val="1002"/>
        </w:numPr>
      </w:pPr>
      <w:r>
        <w:t xml:space="preserve">Ameren has</w:t>
      </w:r>
      <w:r>
        <w:t xml:space="preserve"> </w:t>
      </w:r>
      <w:r>
        <w:rPr>
          <w:b/>
          <w:bCs/>
        </w:rPr>
        <w:t xml:space="preserve">3.4 GW of construction agreements in Missouri</w:t>
      </w:r>
      <w:r>
        <w:t xml:space="preserve"> </w:t>
      </w:r>
      <w:r>
        <w:t xml:space="preserve">and</w:t>
      </w:r>
      <w:r>
        <w:t xml:space="preserve"> </w:t>
      </w:r>
      <w:r>
        <w:rPr>
          <w:b/>
          <w:bCs/>
        </w:rPr>
        <w:t xml:space="preserve">850 MW in Illinois</w:t>
      </w:r>
      <w:r>
        <w:t xml:space="preserve">.</w:t>
      </w:r>
    </w:p>
    <w:p>
      <w:pPr>
        <w:pStyle w:val="Compact"/>
        <w:numPr>
          <w:ilvl w:val="0"/>
          <w:numId w:val="1002"/>
        </w:numPr>
      </w:pPr>
      <w:r>
        <w:t xml:space="preserve">In February it converted</w:t>
      </w:r>
      <w:r>
        <w:t xml:space="preserve"> </w:t>
      </w:r>
      <w:r>
        <w:rPr>
          <w:b/>
          <w:bCs/>
        </w:rPr>
        <w:t xml:space="preserve">2.2 GW to signed Energy Service Agreements (ESAs)</w:t>
      </w:r>
      <w:r>
        <w:t xml:space="preserve">; sites for those are secured.</w:t>
      </w:r>
    </w:p>
    <w:p>
      <w:pPr>
        <w:pStyle w:val="Compact"/>
        <w:numPr>
          <w:ilvl w:val="0"/>
          <w:numId w:val="1002"/>
        </w:numPr>
      </w:pPr>
      <w:r>
        <w:t xml:space="preserve">Management said to expect</w:t>
      </w:r>
      <w:r>
        <w:t xml:space="preserve"> </w:t>
      </w:r>
      <w:r>
        <w:rPr>
          <w:b/>
          <w:bCs/>
        </w:rPr>
        <w:t xml:space="preserve">public customer announcements, groundbreakings, and construction starts in Q2 2026</w:t>
      </w:r>
      <w:r>
        <w:t xml:space="preserve"> </w:t>
      </w:r>
      <w:r>
        <w:t xml:space="preserve">— so this print is the natural checkpoint for tangible progress.</w:t>
      </w:r>
    </w:p>
    <w:p>
      <w:pPr>
        <w:pStyle w:val="Compact"/>
        <w:numPr>
          <w:ilvl w:val="0"/>
          <w:numId w:val="1002"/>
        </w:numPr>
      </w:pPr>
      <w:r>
        <w:t xml:space="preserve">It is also "optimistic" about converting a</w:t>
      </w:r>
      <w:r>
        <w:t xml:space="preserve"> </w:t>
      </w:r>
      <w:r>
        <w:rPr>
          <w:b/>
          <w:bCs/>
        </w:rPr>
        <w:t xml:space="preserve">portion of the remaining 1.2 GW</w:t>
      </w:r>
      <w:r>
        <w:t xml:space="preserve"> </w:t>
      </w:r>
      <w:r>
        <w:t xml:space="preserve">of construction agreements into additional ESAs "in the near term."</w:t>
      </w:r>
    </w:p>
    <w:p>
      <w:pPr>
        <w:pStyle w:val="Compact"/>
        <w:numPr>
          <w:ilvl w:val="0"/>
          <w:numId w:val="1002"/>
        </w:numPr>
      </w:pPr>
      <w:r>
        <w:t xml:space="preserve">Crucially, the current plan only bakes in</w:t>
      </w:r>
      <w:r>
        <w:t xml:space="preserve"> </w:t>
      </w:r>
      <w:r>
        <w:rPr>
          <w:b/>
          <w:bCs/>
        </w:rPr>
        <w:t xml:space="preserve">1.2 GW of load growth by 2030 (6.2% Missouri sales CAGR)</w:t>
      </w:r>
      <w:r>
        <w:t xml:space="preserve"> </w:t>
      </w:r>
      <w:r>
        <w:t xml:space="preserve">— so the 2.2 GW already signed represents</w:t>
      </w:r>
      <w:r>
        <w:t xml:space="preserve"> </w:t>
      </w:r>
      <w:r>
        <w:rPr>
          <w:b/>
          <w:bCs/>
        </w:rPr>
        <w:t xml:space="preserve">upside</w:t>
      </w:r>
      <w:r>
        <w:t xml:space="preserve"> </w:t>
      </w:r>
      <w:r>
        <w:t xml:space="preserve">to sales, margin, and capex forecasts if ramps come faster.</w:t>
      </w:r>
    </w:p>
    <w:p>
      <w:pPr>
        <w:pStyle w:val="FirstParagraph"/>
      </w:pPr>
      <w:r>
        <w:rPr>
          <w:b/>
          <w:bCs/>
        </w:rPr>
        <w:t xml:space="preserve">Watch for:</w:t>
      </w:r>
      <w:r>
        <w:t xml:space="preserve"> </w:t>
      </w:r>
      <w:r>
        <w:t xml:space="preserve">named hyperscaler announcements, groundbreaking confirmations, any early read on ramp timing, and additional ESA signings. These are the items most likely to move the stock.</w:t>
      </w:r>
    </w:p>
    <w:bookmarkEnd w:id="12"/>
    <w:bookmarkStart w:id="13" w:name="Xf520f85cc5a55194f7223e698584e75d03b4f4f"/>
    <w:p>
      <w:pPr>
        <w:pStyle w:val="Heading3"/>
      </w:pPr>
      <w:r>
        <w:t xml:space="preserve">2. Guidance action &amp; the September IRP</w:t>
      </w:r>
    </w:p>
    <w:p>
      <w:pPr>
        <w:pStyle w:val="FirstParagraph"/>
      </w:pPr>
      <w:r>
        <w:t xml:space="preserve">Management framed the</w:t>
      </w:r>
      <w:r>
        <w:t xml:space="preserve"> </w:t>
      </w:r>
      <w:r>
        <w:rPr>
          <w:b/>
          <w:bCs/>
        </w:rPr>
        <w:t xml:space="preserve">updated Missouri Integrated Resource Plan (IRP), targeted for late September</w:t>
      </w:r>
      <w:r>
        <w:t xml:space="preserve">, as the key milestone to refresh sales assumptions, generation build, rate base and earnings outlook — with a "good update" promised on the</w:t>
      </w:r>
      <w:r>
        <w:t xml:space="preserve"> </w:t>
      </w:r>
      <w:r>
        <w:rPr>
          <w:b/>
          <w:bCs/>
        </w:rPr>
        <w:t xml:space="preserve">Q3 call</w:t>
      </w:r>
      <w:r>
        <w:t xml:space="preserve">. So a guidance</w:t>
      </w:r>
      <w:r>
        <w:t xml:space="preserve"> </w:t>
      </w:r>
      <w:r>
        <w:rPr>
          <w:i/>
          <w:iCs/>
        </w:rPr>
        <w:t xml:space="preserve">raise</w:t>
      </w:r>
      <w:r>
        <w:t xml:space="preserve"> </w:t>
      </w:r>
      <w:r>
        <w:t xml:space="preserve">this quarter is less likely than a</w:t>
      </w:r>
      <w:r>
        <w:t xml:space="preserve"> </w:t>
      </w:r>
      <w:r>
        <w:rPr>
          <w:i/>
          <w:iCs/>
        </w:rPr>
        <w:t xml:space="preserve">reaffirmation</w:t>
      </w:r>
      <w:r>
        <w:t xml:space="preserve"> </w:t>
      </w:r>
      <w:r>
        <w:t xml:space="preserve">with more color; the real reset comes later. Watch whether they at least tighten the range or signal upper-end.</w:t>
      </w:r>
    </w:p>
    <w:bookmarkEnd w:id="13"/>
    <w:bookmarkStart w:id="14" w:name="X4689411ba31a719d050c6772ae173369e57527d"/>
    <w:p>
      <w:pPr>
        <w:pStyle w:val="Heading3"/>
      </w:pPr>
      <w:r>
        <w:t xml:space="preserve">3. Generation build-out execution</w:t>
      </w:r>
    </w:p>
    <w:p>
      <w:pPr>
        <w:pStyle w:val="Compact"/>
        <w:numPr>
          <w:ilvl w:val="0"/>
          <w:numId w:val="1003"/>
        </w:numPr>
      </w:pPr>
      <w:r>
        <w:t xml:space="preserve">50 MW Bowling Green solar in service (March); 300 MW Split Rail in final commissioning.</w:t>
      </w:r>
    </w:p>
    <w:p>
      <w:pPr>
        <w:pStyle w:val="Compact"/>
        <w:numPr>
          <w:ilvl w:val="0"/>
          <w:numId w:val="1003"/>
        </w:numPr>
      </w:pPr>
      <w:r>
        <w:t xml:space="preserve">Two 800 MW simple-cycle gas plants —</w:t>
      </w:r>
      <w:r>
        <w:t xml:space="preserve"> </w:t>
      </w:r>
      <w:r>
        <w:rPr>
          <w:b/>
          <w:bCs/>
        </w:rPr>
        <w:t xml:space="preserve">Castle Bluff (2027)</w:t>
      </w:r>
      <w:r>
        <w:t xml:space="preserve"> </w:t>
      </w:r>
      <w:r>
        <w:t xml:space="preserve">and</w:t>
      </w:r>
      <w:r>
        <w:t xml:space="preserve"> </w:t>
      </w:r>
      <w:r>
        <w:rPr>
          <w:b/>
          <w:bCs/>
        </w:rPr>
        <w:t xml:space="preserve">Big Hollow (2028)</w:t>
      </w:r>
      <w:r>
        <w:t xml:space="preserve"> </w:t>
      </w:r>
      <w:r>
        <w:t xml:space="preserve">— plus 400 MW battery; turbines delivered ahead of schedule, EPC/labor mobilized.</w:t>
      </w:r>
    </w:p>
    <w:p>
      <w:pPr>
        <w:pStyle w:val="Compact"/>
        <w:numPr>
          <w:ilvl w:val="0"/>
          <w:numId w:val="1003"/>
        </w:numPr>
      </w:pPr>
      <w:r>
        <w:rPr>
          <w:b/>
          <w:bCs/>
        </w:rPr>
        <w:t xml:space="preserve">~3 GW of new CCN filings expected by Q3</w:t>
      </w:r>
      <w:r>
        <w:t xml:space="preserve"> </w:t>
      </w:r>
      <w:r>
        <w:t xml:space="preserve">(incl. the 2.1 GW West Dalton combined-cycle for 2031) — all consistent with the existing IRP/capital plan.</w:t>
      </w:r>
    </w:p>
    <w:p>
      <w:pPr>
        <w:pStyle w:val="Compact"/>
        <w:numPr>
          <w:ilvl w:val="0"/>
          <w:numId w:val="1003"/>
        </w:numPr>
      </w:pPr>
      <w:r>
        <w:t xml:space="preserve">Look for supply-chain and schedule confidence commentary.</w:t>
      </w:r>
    </w:p>
    <w:bookmarkEnd w:id="14"/>
    <w:bookmarkStart w:id="15" w:name="X86daaf0510a9a8cd48799f3ff3c3a1cbfe3d503"/>
    <w:p>
      <w:pPr>
        <w:pStyle w:val="Heading3"/>
      </w:pPr>
      <w:r>
        <w:t xml:space="preserve">4. Regulatory calendar</w:t>
      </w:r>
    </w:p>
    <w:p>
      <w:pPr>
        <w:pStyle w:val="Compact"/>
        <w:numPr>
          <w:ilvl w:val="0"/>
          <w:numId w:val="1004"/>
        </w:numPr>
      </w:pPr>
      <w:r>
        <w:rPr>
          <w:b/>
          <w:bCs/>
        </w:rPr>
        <w:t xml:space="preserve">Missouri:</w:t>
      </w:r>
      <w:r>
        <w:t xml:space="preserve"> </w:t>
      </w:r>
      <w:r>
        <w:t xml:space="preserve">next electric rate review expected to be filed</w:t>
      </w:r>
      <w:r>
        <w:t xml:space="preserve"> </w:t>
      </w:r>
      <w:r>
        <w:rPr>
          <w:b/>
          <w:bCs/>
        </w:rPr>
        <w:t xml:space="preserve">mid-2026</w:t>
      </w:r>
      <w:r>
        <w:t xml:space="preserve"> </w:t>
      </w:r>
      <w:r>
        <w:t xml:space="preserve">— watch for confirmation and framing.</w:t>
      </w:r>
    </w:p>
    <w:p>
      <w:pPr>
        <w:pStyle w:val="Compact"/>
        <w:numPr>
          <w:ilvl w:val="0"/>
          <w:numId w:val="1004"/>
        </w:numPr>
      </w:pPr>
      <w:r>
        <w:rPr>
          <w:b/>
          <w:bCs/>
        </w:rPr>
        <w:t xml:space="preserve">Illinois:</w:t>
      </w:r>
      <w:r>
        <w:t xml:space="preserve"> </w:t>
      </w:r>
      <w:r>
        <w:t xml:space="preserve">$65M revenue-adjustment request under the electric distribution MYRP reconciliation (ICC decision expected December, rates January 2027); ongoing appeals of prior ICC orders remain a background risk.</w:t>
      </w:r>
    </w:p>
    <w:bookmarkEnd w:id="15"/>
    <w:bookmarkStart w:id="16" w:name="X0d91676d9b2018c1ffc3c35bdf2899d89c9fe04"/>
    <w:p>
      <w:pPr>
        <w:pStyle w:val="Heading3"/>
      </w:pPr>
      <w:r>
        <w:t xml:space="preserve">5. Weather &amp; cost headwinds for Q2 specifically</w:t>
      </w:r>
    </w:p>
    <w:p>
      <w:pPr>
        <w:pStyle w:val="FirstParagraph"/>
      </w:pPr>
      <w:r>
        <w:t xml:space="preserve">Management explicitly flagged</w:t>
      </w:r>
      <w:r>
        <w:t xml:space="preserve"> </w:t>
      </w:r>
      <w:r>
        <w:rPr>
          <w:b/>
          <w:bCs/>
        </w:rPr>
        <w:t xml:space="preserve">higher tree-trimming/reliability spend in Q2 2026 vs. 2025</w:t>
      </w:r>
      <w:r>
        <w:t xml:space="preserve"> </w:t>
      </w:r>
      <w:r>
        <w:t xml:space="preserve">as a modeled headwind. Summer cooling-degree-day weather in Missouri will also swing electric retail sales. Guidance assumes normal weather for the balance of the year.</w:t>
      </w:r>
    </w:p>
    <w:bookmarkEnd w:id="16"/>
    <w:bookmarkStart w:id="17" w:name="Xf772655a444402c8e0e01a43cfee05bd772e7b2"/>
    <w:p>
      <w:pPr>
        <w:pStyle w:val="Heading3"/>
      </w:pPr>
      <w:r>
        <w:t xml:space="preserve">6. Balance sheet / financing</w:t>
      </w:r>
    </w:p>
    <w:p>
      <w:pPr>
        <w:pStyle w:val="Compact"/>
        <w:numPr>
          <w:ilvl w:val="0"/>
          <w:numId w:val="1005"/>
        </w:numPr>
      </w:pPr>
      <w:r>
        <w:t xml:space="preserve">Rate base growth of</w:t>
      </w:r>
      <w:r>
        <w:t xml:space="preserve"> </w:t>
      </w:r>
      <w:r>
        <w:rPr>
          <w:b/>
          <w:bCs/>
        </w:rPr>
        <w:t xml:space="preserve">~10.6%</w:t>
      </w:r>
      <w:r>
        <w:t xml:space="preserve">;</w:t>
      </w:r>
      <w:r>
        <w:t xml:space="preserve"> </w:t>
      </w:r>
      <w:r>
        <w:rPr>
          <w:b/>
          <w:bCs/>
        </w:rPr>
        <w:t xml:space="preserve">&gt;$70B investment pipeline through 2035</w:t>
      </w:r>
      <w:r>
        <w:t xml:space="preserve">.</w:t>
      </w:r>
    </w:p>
    <w:p>
      <w:pPr>
        <w:pStyle w:val="Compact"/>
        <w:numPr>
          <w:ilvl w:val="0"/>
          <w:numId w:val="1005"/>
        </w:numPr>
      </w:pPr>
      <w:r>
        <w:t xml:space="preserve">**~</w:t>
      </w:r>
      <m:oMath>
        <m:r>
          <m:t>4</m:t>
        </m:r>
        <m:r>
          <m:t>B</m:t>
        </m:r>
        <m:r>
          <m:t>o</m:t>
        </m:r>
        <m:r>
          <m:t>f</m:t>
        </m:r>
        <m:r>
          <m:t>e</m:t>
        </m:r>
        <m:r>
          <m:t>q</m:t>
        </m:r>
        <m:r>
          <m:t>u</m:t>
        </m:r>
        <m:r>
          <m:t>i</m:t>
        </m:r>
        <m:r>
          <m:t>t</m:t>
        </m:r>
        <m:r>
          <m:t>y</m:t>
        </m:r>
        <m:r>
          <m:t>p</m:t>
        </m:r>
        <m:r>
          <m:t>l</m:t>
        </m:r>
        <m:r>
          <m:t>a</m:t>
        </m:r>
        <m:r>
          <m:t>n</m:t>
        </m:r>
        <m:r>
          <m:t>n</m:t>
        </m:r>
        <m:r>
          <m:t>e</m:t>
        </m:r>
        <m:r>
          <m:t>d</m:t>
        </m:r>
        <m:r>
          <m:t>2026</m:t>
        </m:r>
        <m:r>
          <m:rPr>
            <m:sty m:val="p"/>
          </m:rPr>
          <m:t>–</m:t>
        </m:r>
        <m:r>
          <m:t>2030</m:t>
        </m:r>
        <m:r>
          <m:rPr>
            <m:sty m:val="p"/>
          </m:rPr>
          <m:t>*</m:t>
        </m:r>
        <m:r>
          <m:rPr>
            <m:sty m:val="p"/>
          </m:rPr>
          <m:t>*</m:t>
        </m:r>
        <m:r>
          <m:rPr>
            <m:sty m:val="p"/>
          </m:rPr>
          <m:t>;</m:t>
        </m:r>
        <m:r>
          <m:t> </m:t>
        </m:r>
      </m:oMath>
      <w:r>
        <w:t xml:space="preserve">600M forward-sold in 2026 already, plus ~$600M for 2027+ via ATM. Watch for any change to equity needs if capex rises with new load.</w:t>
      </w:r>
    </w:p>
    <w:p>
      <w:pPr>
        <w:pStyle w:val="Compact"/>
        <w:numPr>
          <w:ilvl w:val="0"/>
          <w:numId w:val="1005"/>
        </w:numPr>
      </w:pPr>
      <w:r>
        <w:t xml:space="preserve">Credit:</w:t>
      </w:r>
      <w:r>
        <w:t xml:space="preserve"> </w:t>
      </w:r>
      <w:r>
        <w:rPr>
          <w:b/>
          <w:bCs/>
        </w:rPr>
        <w:t xml:space="preserve">S&amp;P affirmed BBB+/stable</w:t>
      </w:r>
      <w:r>
        <w:t xml:space="preserve"> </w:t>
      </w:r>
      <w:r>
        <w:t xml:space="preserve">in April; Moody's opinion pending. Higher interest expense has been a recurring drag (Q1 interest charges $204M vs. $175M).</w:t>
      </w:r>
    </w:p>
    <w:p>
      <w:r>
        <w:pict>
          <v:rect style="width:0;height:1.5pt" o:hralign="center" o:hrstd="t" o:hr="t"/>
        </w:pict>
      </w:r>
    </w:p>
    <w:bookmarkEnd w:id="17"/>
    <w:bookmarkEnd w:id="18"/>
    <w:bookmarkStart w:id="19" w:name="bottom-line"/>
    <w:p>
      <w:pPr>
        <w:pStyle w:val="Heading2"/>
      </w:pPr>
      <w:r>
        <w:t xml:space="preserve">Bottom Line</w:t>
      </w:r>
    </w:p>
    <w:p>
      <w:pPr>
        <w:pStyle w:val="FirstParagraph"/>
      </w:pPr>
      <w:r>
        <w:t xml:space="preserve">Q2 is a small quarter, and the ~$1.08 consensus print itself is unlikely to be the story. The market will focus on</w:t>
      </w:r>
      <w:r>
        <w:t xml:space="preserve"> </w:t>
      </w:r>
      <w:r>
        <w:rPr>
          <w:b/>
          <w:bCs/>
        </w:rPr>
        <w:t xml:space="preserve">(a) tangible data-center progress</w:t>
      </w:r>
      <w:r>
        <w:t xml:space="preserve"> </w:t>
      </w:r>
      <w:r>
        <w:t xml:space="preserve">(groundbreakings, named customers, new ESAs),</w:t>
      </w:r>
      <w:r>
        <w:t xml:space="preserve"> </w:t>
      </w:r>
      <w:r>
        <w:rPr>
          <w:b/>
          <w:bCs/>
        </w:rPr>
        <w:t xml:space="preserve">(b) whether management stays at the upper end of the 6–8% growth algorithm</w:t>
      </w:r>
      <w:r>
        <w:t xml:space="preserve">, and</w:t>
      </w:r>
      <w:r>
        <w:t xml:space="preserve"> </w:t>
      </w:r>
      <w:r>
        <w:rPr>
          <w:b/>
          <w:bCs/>
        </w:rPr>
        <w:t xml:space="preserve">(c) setup for the September IRP / Q3 capital-plan update</w:t>
      </w:r>
      <w:r>
        <w:t xml:space="preserve"> </w:t>
      </w:r>
      <w:r>
        <w:t xml:space="preserve">that could formally lift rate base and EPS growth. With the stock having given back part of its spring run and estimates drifting higher, the risk/reward hinges more on the</w:t>
      </w:r>
      <w:r>
        <w:t xml:space="preserve"> </w:t>
      </w:r>
      <w:r>
        <w:rPr>
          <w:b/>
          <w:bCs/>
        </w:rPr>
        <w:t xml:space="preserve">load-growth commentary and capex trajectory</w:t>
      </w:r>
      <w:r>
        <w:t xml:space="preserve"> </w:t>
      </w:r>
      <w:r>
        <w:t xml:space="preserve">than on the headline EPS. A reaffirmed guide plus concrete ESA/large-load milestones would likely be received well; a lack of visible data-center progress or a weather/cost-driven soft quarter with only a status-quo outlook could disappoint given the recent multiple.</w:t>
      </w:r>
    </w:p>
    <w:p>
      <w:pPr>
        <w:pStyle w:val="BodyText"/>
      </w:pPr>
      <w:r>
        <w:rPr>
          <w:i/>
          <w:iCs/>
        </w:rPr>
        <w:t xml:space="preserve">Note: consensus figures and analyst targets are sourced from public reporting; all financial and operational detail above is drawn from Ameren's Q1 2026 earnings release and call, and its Q2 2025 release.</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2026-07-29T19:43:37Z</dcterms:created>
  <dcterms:modified xsi:type="dcterms:W3CDTF">2026-07-29T19:43:37Z</dcterms:modified>
</cp:coreProperties>
</file>

<file path=docProps/custom.xml><?xml version="1.0" encoding="utf-8"?>
<Properties xmlns="http://schemas.openxmlformats.org/officeDocument/2006/custom-properties" xmlns:vt="http://schemas.openxmlformats.org/officeDocument/2006/docPropsVTypes"/>
</file>