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e-earnings-predictions--2026-07-30"/>
    <w:p>
      <w:pPr>
        <w:pStyle w:val="Heading1"/>
      </w:pPr>
      <w:r>
        <w:t xml:space="preserve">AEE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~$2.45B vs. cons $2.40B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O&amp;M / Vegetation Management (tree-trimming) Expense Growth YoY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~+10% YoY vs. implied cons ~+5% YoY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(midpoint $5.35) vs. cons midpoint $5.35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Weather-Normalized Sales CAGR Assumption (pre-IRP update)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~6.2% vs. cons/prior guide 6.2% (2026-2030, ahead of Sept IRP reset)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5-Year Capital Plan Size (2026-2030), ex.-large-load additive spend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~$34B vs. prior plan $32B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(FADE)</w:t>
            </w:r>
          </w:p>
        </w:tc>
        <w:tc>
          <w:tcPr/>
          <w:p>
            <w:pPr>
              <w:pStyle w:val="Compact"/>
            </w:pPr>
            <w:r>
              <w:t xml:space="preserve">Q2 EPS likely tops the $1.08 consensus on continued infrastructure investment earnings, but management flagged Q2-specific vegetation-management cost inflation and reaffirmed (not raised) the</w:t>
            </w:r>
            <w:r>
              <w:t xml:space="preserve"> 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FY guide despite the Q1 beat — a classic 'beat-but-no-raise' setup. With the stock already near highs pricing in continued execution and no major incremental ESA/IRP catalysts likely within the 5-day window (Sept IRP update is ~2 months out), sell-side models should trim near-term margin assumptions for higher O&amp;M, pulling out-quarter/FY27 estimates down modestly and fading an initially muted positive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2026-07-29T19:40:34Z</dcterms:created>
  <dcterms:modified xsi:type="dcterms:W3CDTF">2026-07-29T19:40:34Z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