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Xcb3c60a7c57d0de774cd3b3fbb2dd2254737e69"/>
    <w:p>
      <w:pPr>
        <w:pStyle w:val="Heading1"/>
      </w:pPr>
      <w:r>
        <w:t xml:space="preserve">Ameren Corporation (AEE) — Q2 2026 Earnings Preview</w:t>
      </w:r>
    </w:p>
    <w:p>
      <w:pPr>
        <w:pStyle w:val="FirstParagraph"/>
      </w:pPr>
      <w:r>
        <w:rPr>
          <w:b/>
          <w:bCs/>
        </w:rPr>
        <w:t xml:space="preserve">Report Date:</w:t>
      </w:r>
      <w:r>
        <w:t xml:space="preserve"> </w:t>
      </w:r>
      <w:r>
        <w:t xml:space="preserve">July 30, 2026 (after market close) |</w:t>
      </w:r>
      <w:r>
        <w:t xml:space="preserve"> </w:t>
      </w:r>
      <w:r>
        <w:rPr>
          <w:b/>
          <w:bCs/>
        </w:rPr>
        <w:t xml:space="preserve">Call:</w:t>
      </w:r>
      <w:r>
        <w:t xml:space="preserve"> </w:t>
      </w:r>
      <w:r>
        <w:t xml:space="preserve">2026Q2 Earnings Call</w:t>
      </w:r>
    </w:p>
    <w:p>
      <w:r>
        <w:pict>
          <v:rect style="width:0;height:1.5pt" o:hralign="center" o:hrstd="t" o:hr="t"/>
        </w:pict>
      </w:r>
    </w:p>
    <w:bookmarkStart w:id="9" w:name="X340611ab981650f1d64c78ce49edfd22d9a6c03"/>
    <w:p>
      <w:pPr>
        <w:pStyle w:val="Heading2"/>
      </w:pPr>
      <w:r>
        <w:t xml:space="preserve">1. Setting the Stage</w:t>
      </w:r>
    </w:p>
    <w:p>
      <w:pPr>
        <w:pStyle w:val="FirstParagraph"/>
      </w:pPr>
      <w:r>
        <w:t xml:space="preserve">Ameren enters Thursday's print with a clean Q1 in the rearview mirror and a stock that has been a steady, if unspectacular, performer — trading around</w:t>
      </w:r>
      <w:r>
        <w:t xml:space="preserve"> </w:t>
      </w:r>
      <m:oMath>
        <m:r>
          <m:t>110</m:t>
        </m:r>
        <m:r>
          <m:rPr>
            <m:sty m:val="p"/>
          </m:rPr>
          <m:t>*</m:t>
        </m:r>
        <m:r>
          <m:rPr>
            <m:sty m:val="p"/>
          </m:rPr>
          <m:t>*</m:t>
        </m:r>
        <m:r>
          <m:t>a</m:t>
        </m:r>
        <m:r>
          <m:t>s</m:t>
        </m:r>
        <m:r>
          <m:t>o</m:t>
        </m:r>
        <m:r>
          <m:t>f</m:t>
        </m:r>
        <m:r>
          <m:t>J</m:t>
        </m:r>
        <m:r>
          <m:t>u</m:t>
        </m:r>
        <m:r>
          <m:t>l</m:t>
        </m:r>
        <m:r>
          <m:t>y</m:t>
        </m:r>
        <m:r>
          <m:t>29</m:t>
        </m:r>
        <m:r>
          <m:rPr>
            <m:sty m:val="p"/>
          </m:rPr>
          <m:t>,</m:t>
        </m:r>
        <m:r>
          <m:t>r</m:t>
        </m:r>
        <m:r>
          <m:t>o</m:t>
        </m:r>
        <m:r>
          <m:t>u</m:t>
        </m:r>
        <m:r>
          <m:t>g</m:t>
        </m:r>
        <m:r>
          <m:t>h</m:t>
        </m:r>
        <m:r>
          <m:t>l</m:t>
        </m:r>
        <m:r>
          <m:t>y</m:t>
        </m:r>
        <m:r>
          <m:t>f</m:t>
        </m:r>
        <m:r>
          <m:t>l</m:t>
        </m:r>
        <m:r>
          <m:t>a</m:t>
        </m:r>
        <m:r>
          <m:t>t</m:t>
        </m:r>
        <m:r>
          <m:t>o</m:t>
        </m:r>
        <m:r>
          <m:t>v</m:t>
        </m:r>
        <m:r>
          <m:t>e</m:t>
        </m:r>
        <m:r>
          <m:t>r</m:t>
        </m:r>
        <m:r>
          <m:t>t</m:t>
        </m:r>
        <m:r>
          <m:t>h</m:t>
        </m:r>
        <m:r>
          <m:t>e</m:t>
        </m:r>
        <m:r>
          <m:t>p</m:t>
        </m:r>
        <m:r>
          <m:t>a</m:t>
        </m:r>
        <m:r>
          <m:t>s</m:t>
        </m:r>
        <m:r>
          <m:t>t</m:t>
        </m:r>
        <m:r>
          <m:t>m</m:t>
        </m:r>
        <m:r>
          <m:t>o</m:t>
        </m:r>
        <m:r>
          <m:t>n</m:t>
        </m:r>
        <m:r>
          <m:t>t</m:t>
        </m:r>
        <m:r>
          <m:t>h</m:t>
        </m:r>
        <m:r>
          <m:t>b</m:t>
        </m:r>
        <m:r>
          <m:t>u</m:t>
        </m:r>
        <m:r>
          <m:t>t</m:t>
        </m:r>
        <m:r>
          <m:t>w</m:t>
        </m:r>
        <m:r>
          <m:t>e</m:t>
        </m:r>
        <m:r>
          <m:t>l</m:t>
        </m:r>
        <m:r>
          <m:t>l</m:t>
        </m:r>
        <m:r>
          <m:t>o</m:t>
        </m:r>
        <m:r>
          <m:t>f</m:t>
        </m:r>
        <m:r>
          <m:t>f</m:t>
        </m:r>
        <m:r>
          <m:t>i</m:t>
        </m:r>
        <m:r>
          <m:t>t</m:t>
        </m:r>
        <m:r>
          <m:t>s</m:t>
        </m:r>
        <m:r>
          <m:t>52</m:t>
        </m:r>
        <m:r>
          <m:rPr>
            <m:sty m:val="p"/>
          </m:rPr>
          <m:t>−</m:t>
        </m:r>
        <m:r>
          <m:t>w</m:t>
        </m:r>
        <m:r>
          <m:t>e</m:t>
        </m:r>
        <m:r>
          <m:t>e</m:t>
        </m:r>
        <m:r>
          <m:t>k</m:t>
        </m:r>
        <m:r>
          <m:t>h</m:t>
        </m:r>
        <m:r>
          <m:t>i</m:t>
        </m:r>
        <m:r>
          <m:t>g</m:t>
        </m:r>
        <m:r>
          <m:t>h</m:t>
        </m:r>
        <m:r>
          <m:t>n</m:t>
        </m:r>
        <m:r>
          <m:t>e</m:t>
        </m:r>
        <m:r>
          <m:t>a</m:t>
        </m:r>
        <m:r>
          <m:t>r</m:t>
        </m:r>
        <m:r>
          <m:rPr>
            <m:sty m:val="p"/>
          </m:rPr>
          <m:t>*</m:t>
        </m:r>
        <m:r>
          <m:rPr>
            <m:sty m:val="p"/>
          </m:rPr>
          <m:t>*</m:t>
        </m:r>
      </m:oMath>
      <w:r>
        <w:rPr>
          <w:b/>
          <w:bCs/>
        </w:rPr>
        <w:t xml:space="preserve">118</w:t>
      </w:r>
      <w:r>
        <w:t xml:space="preserve"> </w:t>
      </w:r>
      <w:r>
        <w:t xml:space="preserve">set in late June. The name currently trades at a forward P/E in the low-20s, consistent with a "Moderate Buy" sell-side consensus skewed toward Buy/Hold ratings rather than aggressive upgrades.</w:t>
      </w:r>
    </w:p>
    <w:p>
      <w:pPr>
        <w:pStyle w:val="BodyText"/>
      </w:pPr>
      <w:r>
        <w:t xml:space="preserve">The key debate heading into the quarter isn't really about the print itself — Ameren is a rate-regulated utility with high earnings visibility — but about the</w:t>
      </w:r>
      <w:r>
        <w:t xml:space="preserve"> </w:t>
      </w:r>
      <w:r>
        <w:rPr>
          <w:b/>
          <w:bCs/>
        </w:rPr>
        <w:t xml:space="preserve">pace of data-center-driven load growth</w:t>
      </w:r>
      <w:r>
        <w:t xml:space="preserve">, the</w:t>
      </w:r>
      <w:r>
        <w:t xml:space="preserve"> </w:t>
      </w:r>
      <w:r>
        <w:rPr>
          <w:b/>
          <w:bCs/>
        </w:rPr>
        <w:t xml:space="preserve">regulatory cadence</w:t>
      </w:r>
      <w:r>
        <w:t xml:space="preserve"> </w:t>
      </w:r>
      <w:r>
        <w:t xml:space="preserve">in Missouri and Illinois, and how the company is</w:t>
      </w:r>
      <w:r>
        <w:t xml:space="preserve"> </w:t>
      </w:r>
      <w:r>
        <w:rPr>
          <w:b/>
          <w:bCs/>
        </w:rPr>
        <w:t xml:space="preserve">financing</w:t>
      </w:r>
      <w:r>
        <w:t xml:space="preserve"> </w:t>
      </w:r>
      <w:r>
        <w:t xml:space="preserve">an accelerating, multi-decade capital program.</w:t>
      </w:r>
    </w:p>
    <w:bookmarkEnd w:id="9"/>
    <w:bookmarkStart w:id="10" w:name="Xdc257ad3069e9124bc5fc8003e608f2a7b149ba"/>
    <w:p>
      <w:pPr>
        <w:pStyle w:val="Heading2"/>
      </w:pPr>
      <w:r>
        <w:t xml:space="preserve">2. What Happened Last Quarter (Q1 2026 Recap)</w:t>
      </w:r>
    </w:p>
    <w:p>
      <w:pPr>
        <w:pStyle w:val="FirstParagraph"/>
      </w:pPr>
      <w:r>
        <w:t xml:space="preserve">Ameren posted a strong start to the year: Ameren Corporation today announced first quarter 2026 net income attributable to common shareholders of $357 million, or $1.28 per diluted share, compared to first quarter 2025 net income of $289 million, or $1.07 per diluted share. Management attributed the improvement primarily to earnings on infrastructure investments to improve system reliability, resilience, and service quality for our Ameren Missouri and Illinois electric and natural gas customers, partially offset by lower Ameren Missouri electric retail sales, primarily driven by warmer-than-normal winter temperatures in the current period compared to colder-than-normal temperatures in the prior-year period, along with higher interest expense at Ameren Missouri.</w:t>
      </w:r>
    </w:p>
    <w:p>
      <w:pPr>
        <w:pStyle w:val="BodyText"/>
      </w:pPr>
      <w:r>
        <w:t xml:space="preserve">Critically, the company</w:t>
      </w:r>
      <w:r>
        <w:t xml:space="preserve"> </w:t>
      </w:r>
      <w:r>
        <w:rPr>
          <w:b/>
          <w:bCs/>
        </w:rPr>
        <w:t xml:space="preserve">reaffirmed full-year guidance</w:t>
      </w:r>
      <w:r>
        <w:t xml:space="preserve">: Today, Ameren reaffirmed its 2026 earnings guidance range of $5.25 to $5.45 per share. That guidance assumes normal temperatures for the last nine months of the year — meaning weather remains a swing factor for Q2/Q3 results.</w:t>
      </w:r>
    </w:p>
    <w:p>
      <w:pPr>
        <w:pStyle w:val="BodyText"/>
      </w:pPr>
      <w:r>
        <w:t xml:space="preserve">On the Q1 call, CFO Lenny Singh flagged a specific item to watch for Q2: elevated vegetation management spend. We are continuing these reliability focused efforts and would expect higher tree trimming costs in 2026, particularly in the second quarter of this year as compared to 2025. That's a modest headwind investors should expect management to address again.</w:t>
      </w:r>
    </w:p>
    <w:bookmarkEnd w:id="10"/>
    <w:bookmarkStart w:id="11" w:name="Xea4add18b58c66bf9de454cce4d61e438163823"/>
    <w:p>
      <w:pPr>
        <w:pStyle w:val="Heading2"/>
      </w:pPr>
      <w:r>
        <w:t xml:space="preserve">3. Q2 2026 Consensus Expectations</w:t>
      </w:r>
    </w:p>
    <w:p>
      <w:pPr>
        <w:pStyle w:val="FirstParagraph"/>
      </w:pPr>
      <w:r>
        <w:t xml:space="preserve">Wall Street is looking for continued, if unspectacular, year-over-year growth:</w:t>
      </w:r>
    </w:p>
    <w:p>
      <w:pPr>
        <w:pStyle w:val="Compact"/>
        <w:numPr>
          <w:ilvl w:val="0"/>
          <w:numId w:val="1001"/>
        </w:numPr>
      </w:pPr>
      <w:r>
        <w:t xml:space="preserve">One tracking source pegs the</w:t>
      </w:r>
      <w:r>
        <w:t xml:space="preserve"> </w:t>
      </w:r>
      <w:r>
        <w:rPr>
          <w:b/>
          <w:bCs/>
        </w:rPr>
        <w:t xml:space="preserve">Zacks Consensus Estimate for earnings at $1.08 per share, implying 6.9% growth year over year</w:t>
      </w:r>
      <w:r>
        <w:t xml:space="preserve">, with</w:t>
      </w:r>
      <w:r>
        <w:t xml:space="preserve"> </w:t>
      </w:r>
      <w:r>
        <w:rPr>
          <w:b/>
          <w:bCs/>
        </w:rPr>
        <w:t xml:space="preserve">revenue consensus around $2.40 billion, implying 8.3% growth year over year</w:t>
      </w:r>
      <w:r>
        <w:t xml:space="preserve">.</w:t>
      </w:r>
    </w:p>
    <w:p>
      <w:pPr>
        <w:pStyle w:val="Compact"/>
        <w:numPr>
          <w:ilvl w:val="0"/>
          <w:numId w:val="1001"/>
        </w:numPr>
      </w:pPr>
      <w:r>
        <w:t xml:space="preserve">Another estimate service shows a similar setup:</w:t>
      </w:r>
      <w:r>
        <w:t xml:space="preserve"> </w:t>
      </w:r>
      <w:r>
        <w:rPr>
          <w:b/>
          <w:bCs/>
        </w:rPr>
        <w:t xml:space="preserve">"Analysts expect Ameren to post earnings of $1.08 per share and revenue of $2.2748 billion for the quarter."</w:t>
      </w:r>
    </w:p>
    <w:p>
      <w:pPr>
        <w:pStyle w:val="Compact"/>
        <w:numPr>
          <w:ilvl w:val="0"/>
          <w:numId w:val="1001"/>
        </w:numPr>
      </w:pPr>
      <w:r>
        <w:t xml:space="preserve">For context, Q2 2025 results were Earnings per Common Share – Diluted</w:t>
      </w:r>
      <w:r>
        <w:t xml:space="preserve"> </w:t>
      </w:r>
      <m:oMath>
        <m:r>
          <m:t>1.01</m:t>
        </m:r>
        <m:r>
          <m:t>o</m:t>
        </m:r>
        <m:r>
          <m:t>n</m:t>
        </m:r>
        <m:r>
          <m:t>T</m:t>
        </m:r>
        <m:r>
          <m:t>o</m:t>
        </m:r>
        <m:r>
          <m:t>t</m:t>
        </m:r>
        <m:r>
          <m:t>a</m:t>
        </m:r>
        <m:r>
          <m:t>l</m:t>
        </m:r>
        <m:r>
          <m:t>o</m:t>
        </m:r>
        <m:r>
          <m:t>p</m:t>
        </m:r>
        <m:r>
          <m:t>e</m:t>
        </m:r>
        <m:r>
          <m:t>r</m:t>
        </m:r>
        <m:r>
          <m:t>a</m:t>
        </m:r>
        <m:r>
          <m:t>t</m:t>
        </m:r>
        <m:r>
          <m:t>i</m:t>
        </m:r>
        <m:r>
          <m:t>n</m:t>
        </m:r>
        <m:r>
          <m:t>g</m:t>
        </m:r>
        <m:r>
          <m:t>r</m:t>
        </m:r>
        <m:r>
          <m:t>e</m:t>
        </m:r>
        <m:r>
          <m:t>v</m:t>
        </m:r>
        <m:r>
          <m:t>e</m:t>
        </m:r>
        <m:r>
          <m:t>n</m:t>
        </m:r>
        <m:r>
          <m:t>u</m:t>
        </m:r>
        <m:r>
          <m:t>e</m:t>
        </m:r>
        <m:r>
          <m:t>s</m:t>
        </m:r>
        <m:r>
          <m:t>2</m:t>
        </m:r>
        <m:r>
          <m:rPr>
            <m:sty m:val="p"/>
          </m:rPr>
          <m:t>,</m:t>
        </m:r>
        <m:r>
          <m:t>221</m:t>
        </m:r>
        <m:r>
          <m:rPr>
            <m:sty m:val="p"/>
          </m:rPr>
          <m:t>(</m:t>
        </m:r>
      </m:oMath>
      <w:r>
        <w:t xml:space="preserve"> </w:t>
      </w:r>
      <w:r>
        <w:t xml:space="preserve">million).</w:t>
      </w:r>
    </w:p>
    <w:p>
      <w:pPr>
        <w:pStyle w:val="Compact"/>
        <w:numPr>
          <w:ilvl w:val="0"/>
          <w:numId w:val="1001"/>
        </w:numPr>
      </w:pPr>
      <w:r>
        <w:t xml:space="preserve">Ameren has a track record of topping estimates recently — one source notes the company</w:t>
      </w:r>
      <w:r>
        <w:t xml:space="preserve"> </w:t>
      </w:r>
      <w:r>
        <w:rPr>
          <w:b/>
          <w:bCs/>
        </w:rPr>
        <w:t xml:space="preserve">"delivered an earnings surprise of 9.4% in the last reported quarter"</w:t>
      </w:r>
      <w:r>
        <w:t xml:space="preserve"> </w:t>
      </w:r>
      <w:r>
        <w:t xml:space="preserve">(Q1's $1.28 vs. $1.17 expected).</w:t>
      </w:r>
    </w:p>
    <w:p>
      <w:pPr>
        <w:pStyle w:val="FirstParagraph"/>
      </w:pPr>
      <w:r>
        <w:t xml:space="preserve">Full-year guidance of</w:t>
      </w:r>
      <w:r>
        <w:t xml:space="preserve"> </w:t>
      </w:r>
      <m:oMath>
        <m:r>
          <m:t>5.25</m:t>
        </m:r>
        <m:r>
          <m:rPr>
            <m:sty m:val="p"/>
          </m:rPr>
          <m:t>–</m:t>
        </m:r>
      </m:oMath>
      <w:r>
        <w:t xml:space="preserve">5.45/share remains the anchor; investors will be watching whether management reiterates it as-is or nudges commentary toward the upper half given the strong Q1 beat.</w:t>
      </w:r>
    </w:p>
    <w:bookmarkEnd w:id="11"/>
    <w:bookmarkStart w:id="12" w:name="X0559c1d4eaf66cfefe15e891153e79ef70ef495"/>
    <w:p>
      <w:pPr>
        <w:pStyle w:val="Heading2"/>
      </w:pPr>
      <w:r>
        <w:t xml:space="preserve">4. The Big Story: Data Center / Large-Load Demand</w:t>
      </w:r>
    </w:p>
    <w:p>
      <w:pPr>
        <w:pStyle w:val="FirstParagraph"/>
      </w:pPr>
      <w:r>
        <w:t xml:space="preserve">This has become the dominant narrative for AEE, and Q2 commentary should provide an important update. On the Q1 call, CEO Marty Lyons detailed the pipeline: Ameren has signed</w:t>
      </w:r>
      <w:r>
        <w:t xml:space="preserve"> </w:t>
      </w:r>
      <w:r>
        <w:rPr>
          <w:b/>
          <w:bCs/>
        </w:rPr>
        <w:t xml:space="preserve">2.2 GW of energy services agreements (ESAs)</w:t>
      </w:r>
      <w:r>
        <w:t xml:space="preserve"> </w:t>
      </w:r>
      <w:r>
        <w:t xml:space="preserve">in Missouri (converted from construction agreements in February) plus</w:t>
      </w:r>
      <w:r>
        <w:t xml:space="preserve"> </w:t>
      </w:r>
      <w:r>
        <w:rPr>
          <w:b/>
          <w:bCs/>
        </w:rPr>
        <w:t xml:space="preserve">850 MW of construction agreements in Illinois</w:t>
      </w:r>
      <w:r>
        <w:t xml:space="preserve">, with another</w:t>
      </w:r>
      <w:r>
        <w:t xml:space="preserve"> </w:t>
      </w:r>
      <w:r>
        <w:rPr>
          <w:b/>
          <w:bCs/>
        </w:rPr>
        <w:t xml:space="preserve">1.2 GW of Missouri construction agreements</w:t>
      </w:r>
      <w:r>
        <w:t xml:space="preserve"> </w:t>
      </w:r>
      <w:r>
        <w:t xml:space="preserve">still outstanding. Management indicated real near-term catalysts to watch: we're looking forward to hopefully in the second quarter, uh, you know, some public announcements and groundbreaking and starting to get construction underway on the 2.2 GW of signed ESAs, and separately, of the remaining 1.2 of construction agreements, uh, you know, we're optimistic that in the very near term, we can see additional essays signed with respect to a portion of that 1.2 that's under construction agreement.</w:t>
      </w:r>
    </w:p>
    <w:p>
      <w:pPr>
        <w:pStyle w:val="BodyText"/>
      </w:pPr>
      <w:r>
        <w:rPr>
          <w:b/>
          <w:bCs/>
        </w:rPr>
        <w:t xml:space="preserve">Watch for on the Q2 call:</w:t>
      </w:r>
    </w:p>
    <w:p>
      <w:pPr>
        <w:pStyle w:val="Compact"/>
        <w:numPr>
          <w:ilvl w:val="0"/>
          <w:numId w:val="1002"/>
        </w:numPr>
      </w:pPr>
      <w:r>
        <w:t xml:space="preserve">Confirmation of groundbreakings/construction starts tied to the 2.2 GW ESA cohort.</w:t>
      </w:r>
    </w:p>
    <w:p>
      <w:pPr>
        <w:pStyle w:val="Compact"/>
        <w:numPr>
          <w:ilvl w:val="0"/>
          <w:numId w:val="1002"/>
        </w:numPr>
      </w:pPr>
      <w:r>
        <w:t xml:space="preserve">Any conversion of additional construction agreements into binding ESAs.</w:t>
      </w:r>
    </w:p>
    <w:p>
      <w:pPr>
        <w:pStyle w:val="Compact"/>
        <w:numPr>
          <w:ilvl w:val="0"/>
          <w:numId w:val="1002"/>
        </w:numPr>
      </w:pPr>
      <w:r>
        <w:t xml:space="preserve">Early color ahead of the</w:t>
      </w:r>
      <w:r>
        <w:t xml:space="preserve"> </w:t>
      </w:r>
      <w:r>
        <w:rPr>
          <w:b/>
          <w:bCs/>
        </w:rPr>
        <w:t xml:space="preserve">Missouri Integrated Resource Plan (IRP) update targeted for late September 2026</w:t>
      </w:r>
      <w:r>
        <w:t xml:space="preserve">, which will reset 20-year sales and generation assumptions and could reveal upside to the current 6.2% compound annual sales growth assumption (2026–2030) baked into guidance.</w:t>
      </w:r>
    </w:p>
    <w:p>
      <w:pPr>
        <w:pStyle w:val="Compact"/>
        <w:numPr>
          <w:ilvl w:val="0"/>
          <w:numId w:val="1002"/>
        </w:numPr>
      </w:pPr>
      <w:r>
        <w:t xml:space="preserve">Progress on ~5 GW of new generation through 2030 (Bowling Green online in March; Split Rail in final commissioning; Castle Bluff and Big Hollow simple-cycle gas plants targeted 2027/2028) and the plan to</w:t>
      </w:r>
      <w:r>
        <w:t xml:space="preserve"> </w:t>
      </w:r>
      <w:r>
        <w:rPr>
          <w:b/>
          <w:bCs/>
        </w:rPr>
        <w:t xml:space="preserve">file CCN requests for ~3 GW of additional generation by Q3 2026</w:t>
      </w:r>
      <w:r>
        <w:t xml:space="preserve">, anchored by the 2.1 GW West Alton combined-cycle facility.</w:t>
      </w:r>
    </w:p>
    <w:p>
      <w:pPr>
        <w:pStyle w:val="FirstParagraph"/>
      </w:pPr>
      <w:r>
        <w:t xml:space="preserve">Management has been explicit that generation and transmission buildout tied to large loads is expected to be</w:t>
      </w:r>
      <w:r>
        <w:t xml:space="preserve"> </w:t>
      </w:r>
      <w:r>
        <w:rPr>
          <w:b/>
          <w:bCs/>
        </w:rPr>
        <w:t xml:space="preserve">additive</w:t>
      </w:r>
      <w:r>
        <w:t xml:space="preserve"> </w:t>
      </w:r>
      <w:r>
        <w:t xml:space="preserve">to the current ~5-year capital plan (previously ~$32 billion), with costs borne by the large-load customers themselves.</w:t>
      </w:r>
    </w:p>
    <w:bookmarkEnd w:id="12"/>
    <w:bookmarkStart w:id="13" w:name="Xbd744abaab7720c451ce28dcb59a1ebda3aea5b"/>
    <w:p>
      <w:pPr>
        <w:pStyle w:val="Heading2"/>
      </w:pPr>
      <w:r>
        <w:t xml:space="preserve">5. Regulatory Calendar — Active on Multiple Fronts</w:t>
      </w:r>
    </w:p>
    <w:p>
      <w:pPr>
        <w:pStyle w:val="FirstParagraph"/>
      </w:pPr>
      <w:r>
        <w:t xml:space="preserve">Two regulatory developments since the Q1 call are directly relevant to the Q2 print and beyond:</w:t>
      </w:r>
    </w:p>
    <w:p>
      <w:pPr>
        <w:pStyle w:val="Compact"/>
        <w:numPr>
          <w:ilvl w:val="0"/>
          <w:numId w:val="1003"/>
        </w:numPr>
      </w:pPr>
      <w:r>
        <w:rPr>
          <w:b/>
          <w:bCs/>
        </w:rPr>
        <w:t xml:space="preserve">Missouri electric rate case filed June 26, 2026:</w:t>
      </w:r>
      <w:r>
        <w:t xml:space="preserve"> </w:t>
      </w:r>
      <w:r>
        <w:t xml:space="preserve">Ameren Missouri requested a</w:t>
      </w:r>
      <w:r>
        <w:t xml:space="preserve"> </w:t>
      </w:r>
      <w:r>
        <w:rPr>
          <w:b/>
          <w:bCs/>
        </w:rPr>
        <w:t xml:space="preserve">$343 million</w:t>
      </w:r>
      <w:r>
        <w:t xml:space="preserve"> </w:t>
      </w:r>
      <w:r>
        <w:t xml:space="preserve">annual revenue increase, based on a 10.25% return on common equity, a capital structure composed of 52% common equity, a rate base of $16.7 billion, and a test year ended March 31, 2026. The MoPSC proceeding relating to the proposed electric service rate changes will take place over a period of up to 11 months, with a decision by the MoPSC expected by May 2027 and new rates effective by June 2027. This is a large ask and a key data point for the multi-year earnings trajectory, though it won't affect near-term results.</w:t>
      </w:r>
    </w:p>
    <w:p>
      <w:pPr>
        <w:pStyle w:val="Compact"/>
        <w:numPr>
          <w:ilvl w:val="0"/>
          <w:numId w:val="1003"/>
        </w:numPr>
      </w:pPr>
      <w:r>
        <w:rPr>
          <w:b/>
          <w:bCs/>
        </w:rPr>
        <w:t xml:space="preserve">Illinois electric distribution reconciliation:</w:t>
      </w:r>
      <w:r>
        <w:t xml:space="preserve"> </w:t>
      </w:r>
      <w:r>
        <w:t xml:space="preserve">In April, Ameren Illinois requested a $65 million revenue adjustment under its multi-year rate plan; an ICC decision is expected in December 2026, with new rates effective January 2027.</w:t>
      </w:r>
    </w:p>
    <w:p>
      <w:pPr>
        <w:pStyle w:val="Compact"/>
        <w:numPr>
          <w:ilvl w:val="0"/>
          <w:numId w:val="1003"/>
        </w:numPr>
      </w:pPr>
      <w:r>
        <w:rPr>
          <w:b/>
          <w:bCs/>
        </w:rPr>
        <w:t xml:space="preserve">Ameren Illinois electric distribution grid investment plan (2028–2031):</w:t>
      </w:r>
      <w:r>
        <w:t xml:space="preserve"> </w:t>
      </w:r>
      <w:r>
        <w:t xml:space="preserve">stakeholder engagement ongoing through 2026, with an ICC decision expected by December and a rate filing to follow in Q1 2027.</w:t>
      </w:r>
    </w:p>
    <w:p>
      <w:pPr>
        <w:pStyle w:val="FirstParagraph"/>
      </w:pPr>
      <w:r>
        <w:t xml:space="preserve">Expect an update on all three fronts on the Q2 call, along with early framing for the</w:t>
      </w:r>
      <w:r>
        <w:t xml:space="preserve"> </w:t>
      </w:r>
      <w:r>
        <w:rPr>
          <w:b/>
          <w:bCs/>
        </w:rPr>
        <w:t xml:space="preserve">mid-2026 Missouri electric rate review filing</w:t>
      </w:r>
      <w:r>
        <w:t xml:space="preserve"> </w:t>
      </w:r>
      <w:r>
        <w:t xml:space="preserve">management flagged in May.</w:t>
      </w:r>
    </w:p>
    <w:bookmarkEnd w:id="13"/>
    <w:bookmarkStart w:id="14" w:name="Xf772655a444402c8e0e01a43cfee05bd772e7b2"/>
    <w:p>
      <w:pPr>
        <w:pStyle w:val="Heading2"/>
      </w:pPr>
      <w:r>
        <w:t xml:space="preserve">6. Balance Sheet &amp; Financing</w:t>
      </w:r>
    </w:p>
    <w:p>
      <w:pPr>
        <w:pStyle w:val="FirstParagraph"/>
      </w:pPr>
      <w:r>
        <w:t xml:space="preserve">Ameren has stayed active in the capital markets to fund its growing capex program:</w:t>
      </w:r>
    </w:p>
    <w:p>
      <w:pPr>
        <w:pStyle w:val="Compact"/>
        <w:numPr>
          <w:ilvl w:val="0"/>
          <w:numId w:val="1004"/>
        </w:numPr>
      </w:pPr>
      <w:r>
        <w:t xml:space="preserve">On</w:t>
      </w:r>
      <w:r>
        <w:t xml:space="preserve"> </w:t>
      </w:r>
      <w:r>
        <w:rPr>
          <w:b/>
          <w:bCs/>
        </w:rPr>
        <w:t xml:space="preserve">June 29, 2026</w:t>
      </w:r>
      <w:r>
        <w:t xml:space="preserve">, Ameren Missouri sold $500 million principal amount of its 5.75% First Mortgage Bonds due 2056, receiving net offering proceeds of approximately $492.2 million, before expenses.</w:t>
      </w:r>
    </w:p>
    <w:p>
      <w:pPr>
        <w:pStyle w:val="Compact"/>
        <w:numPr>
          <w:ilvl w:val="0"/>
          <w:numId w:val="1004"/>
        </w:numPr>
      </w:pPr>
      <w:r>
        <w:t xml:space="preserve">Management has guided to roughly</w:t>
      </w:r>
      <w:r>
        <w:t xml:space="preserve"> </w:t>
      </w:r>
      <w:r>
        <w:rPr>
          <w:b/>
          <w:bCs/>
        </w:rPr>
        <w:t xml:space="preserve">$4 billion of equity issuance from 2026–2030</w:t>
      </w:r>
      <w:r>
        <w:t xml:space="preserve">, with a portion of 2026 needs already satisfied via forward sale and an ATM program.</w:t>
      </w:r>
    </w:p>
    <w:p>
      <w:pPr>
        <w:pStyle w:val="Compact"/>
        <w:numPr>
          <w:ilvl w:val="0"/>
          <w:numId w:val="1004"/>
        </w:numPr>
      </w:pPr>
      <w:r>
        <w:rPr>
          <w:b/>
          <w:bCs/>
        </w:rPr>
        <w:t xml:space="preserve">S&amp;P affirmed Ameren's BBB+ rating with a stable outlook in April 2026</w:t>
      </w:r>
      <w:r>
        <w:t xml:space="preserve">; a Moody's update was expected shortly after.</w:t>
      </w:r>
    </w:p>
    <w:p>
      <w:pPr>
        <w:pStyle w:val="Compact"/>
        <w:numPr>
          <w:ilvl w:val="0"/>
          <w:numId w:val="1004"/>
        </w:numPr>
      </w:pPr>
      <w:r>
        <w:t xml:space="preserve">Q1 balance sheet metrics: total assets grew to</w:t>
      </w:r>
      <w:r>
        <w:t xml:space="preserve"> </w:t>
      </w:r>
      <w:r>
        <w:rPr>
          <w:b/>
          <w:bCs/>
        </w:rPr>
        <w:t xml:space="preserve">$49.8 billion</w:t>
      </w:r>
      <w:r>
        <w:t xml:space="preserve"> </w:t>
      </w:r>
      <w:r>
        <w:t xml:space="preserve">(from</w:t>
      </w:r>
      <w:r>
        <w:t xml:space="preserve"> </w:t>
      </w:r>
      <m:oMath>
        <m:r>
          <m:t>48.5</m:t>
        </m:r>
        <m:r>
          <m:t>B</m:t>
        </m:r>
        <m:r>
          <m:t>a</m:t>
        </m:r>
        <m:r>
          <m:t>t</m:t>
        </m:r>
        <m:r>
          <m:t>y</m:t>
        </m:r>
        <m:r>
          <m:t>e</m:t>
        </m:r>
        <m:r>
          <m:t>a</m:t>
        </m:r>
        <m:r>
          <m:t>r</m:t>
        </m:r>
        <m:r>
          <m:rPr>
            <m:sty m:val="p"/>
          </m:rPr>
          <m:t>−</m:t>
        </m:r>
        <m:r>
          <m:t>e</m:t>
        </m:r>
        <m:r>
          <m:t>n</m:t>
        </m:r>
        <m:r>
          <m:t>d</m:t>
        </m:r>
        <m:r>
          <m:t>2025</m:t>
        </m:r>
        <m:r>
          <m:rPr>
            <m:sty m:val="p"/>
          </m:rPr>
          <m:t>)</m:t>
        </m:r>
        <m:r>
          <m:rPr>
            <m:sty m:val="p"/>
          </m:rPr>
          <m:t>,</m:t>
        </m:r>
        <m:r>
          <m:t>w</m:t>
        </m:r>
        <m:r>
          <m:t>i</m:t>
        </m:r>
        <m:r>
          <m:t>t</m:t>
        </m:r>
        <m:r>
          <m:t>h</m:t>
        </m:r>
        <m:r>
          <m:t>l</m:t>
        </m:r>
        <m:r>
          <m:t>o</m:t>
        </m:r>
        <m:r>
          <m:t>n</m:t>
        </m:r>
        <m:r>
          <m:t>g</m:t>
        </m:r>
        <m:r>
          <m:rPr>
            <m:sty m:val="p"/>
          </m:rPr>
          <m:t>−</m:t>
        </m:r>
        <m:r>
          <m:t>t</m:t>
        </m:r>
        <m:r>
          <m:t>e</m:t>
        </m:r>
        <m:r>
          <m:t>r</m:t>
        </m:r>
        <m:r>
          <m:t>m</m:t>
        </m:r>
        <m:r>
          <m:t>d</m:t>
        </m:r>
        <m:r>
          <m:t>e</m:t>
        </m:r>
        <m:r>
          <m:t>b</m:t>
        </m:r>
        <m:r>
          <m:t>t</m:t>
        </m:r>
        <m:r>
          <m:t>r</m:t>
        </m:r>
        <m:r>
          <m:t>i</m:t>
        </m:r>
        <m:r>
          <m:t>s</m:t>
        </m:r>
        <m:r>
          <m:t>i</m:t>
        </m:r>
        <m:r>
          <m:t>n</m:t>
        </m:r>
        <m:r>
          <m:t>g</m:t>
        </m:r>
        <m:r>
          <m:t>t</m:t>
        </m:r>
        <m:r>
          <m:t>o</m:t>
        </m:r>
        <m:r>
          <m:rPr>
            <m:sty m:val="p"/>
          </m:rPr>
          <m:t>*</m:t>
        </m:r>
        <m:r>
          <m:rPr>
            <m:sty m:val="p"/>
          </m:rPr>
          <m:t>*</m:t>
        </m:r>
      </m:oMath>
      <w:r>
        <w:t xml:space="preserve">19.0 billion** and Q1 capital expenditures of</w:t>
      </w:r>
      <w:r>
        <w:t xml:space="preserve"> </w:t>
      </w:r>
      <w:r>
        <w:rPr>
          <w:b/>
          <w:bCs/>
        </w:rPr>
        <w:t xml:space="preserve">$1.57 billion</w:t>
      </w:r>
      <w:r>
        <w:t xml:space="preserve"> </w:t>
      </w:r>
      <w:r>
        <w:t xml:space="preserve">(well above the $1.06 billion spent in Q1 2025) — underscoring the accelerating capex trajectory that investors should expect to continue in Q2.</w:t>
      </w:r>
    </w:p>
    <w:bookmarkEnd w:id="14"/>
    <w:bookmarkStart w:id="15" w:name="Xfcf507712e4b7e1ffe3722c4a0fe6988fae4d53"/>
    <w:p>
      <w:pPr>
        <w:pStyle w:val="Heading2"/>
      </w:pPr>
      <w:r>
        <w:t xml:space="preserve">7. Stock Performance &amp; Setup Into the Print</w:t>
      </w:r>
    </w:p>
    <w:p>
      <w:pPr>
        <w:pStyle w:val="FirstParagraph"/>
      </w:pPr>
      <w:r>
        <w:t xml:space="preserve">AEE shares have been range-bound to modestly higher in 2026 — starting the year near</w:t>
      </w:r>
      <w:r>
        <w:t xml:space="preserve"> </w:t>
      </w:r>
      <m:oMath>
        <m:r>
          <m:t>101</m:t>
        </m:r>
        <m:r>
          <m:rPr>
            <m:sty m:val="p"/>
          </m:rPr>
          <m:t>,</m:t>
        </m:r>
        <m:r>
          <m:t>r</m:t>
        </m:r>
        <m:r>
          <m:t>a</m:t>
        </m:r>
        <m:r>
          <m:t>l</m:t>
        </m:r>
        <m:r>
          <m:t>l</m:t>
        </m:r>
        <m:r>
          <m:t>y</m:t>
        </m:r>
        <m:r>
          <m:t>i</m:t>
        </m:r>
        <m:r>
          <m:t>n</m:t>
        </m:r>
        <m:r>
          <m:t>g</m:t>
        </m:r>
        <m:r>
          <m:t>t</m:t>
        </m:r>
        <m:r>
          <m:t>o</m:t>
        </m:r>
        <m:r>
          <m:t>a</m:t>
        </m:r>
        <m:r>
          <m:t>n</m:t>
        </m:r>
        <m:r>
          <m:t>a</m:t>
        </m:r>
        <m:r>
          <m:t>l</m:t>
        </m:r>
        <m:r>
          <m:t>l</m:t>
        </m:r>
        <m:r>
          <m:rPr>
            <m:sty m:val="p"/>
          </m:rPr>
          <m:t>−</m:t>
        </m:r>
        <m:r>
          <m:t>t</m:t>
        </m:r>
        <m:r>
          <m:t>i</m:t>
        </m:r>
        <m:r>
          <m:t>m</m:t>
        </m:r>
        <m:r>
          <m:t>e</m:t>
        </m:r>
        <m:r>
          <m:t>h</m:t>
        </m:r>
        <m:r>
          <m:t>i</m:t>
        </m:r>
        <m:r>
          <m:t>g</m:t>
        </m:r>
        <m:r>
          <m:t>h</m:t>
        </m:r>
        <m:r>
          <m:t>o</m:t>
        </m:r>
        <m:r>
          <m:t>f</m:t>
        </m:r>
        <m:r>
          <m:rPr>
            <m:sty m:val="p"/>
          </m:rPr>
          <m:t>*</m:t>
        </m:r>
        <m:r>
          <m:rPr>
            <m:sty m:val="p"/>
          </m:rPr>
          <m:t>*</m:t>
        </m:r>
      </m:oMath>
      <w:r>
        <w:t xml:space="preserve">118.32** on June 26 (coincident with the Missouri rate case filing and broader utility/data-center enthusiasm), before pulling back to the</w:t>
      </w:r>
      <w:r>
        <w:t xml:space="preserve"> </w:t>
      </w:r>
      <w:r>
        <w:rPr>
          <w:b/>
          <w:bCs/>
        </w:rPr>
        <w:t xml:space="preserve">$109–113</w:t>
      </w:r>
      <w:r>
        <w:t xml:space="preserve"> </w:t>
      </w:r>
      <w:r>
        <w:t xml:space="preserve">range heading into earnings. That leaves the stock roughly</w:t>
      </w:r>
      <w:r>
        <w:t xml:space="preserve"> </w:t>
      </w:r>
      <w:r>
        <w:rPr>
          <w:b/>
          <w:bCs/>
        </w:rPr>
        <w:t xml:space="preserve">9–10% higher year-to-date</w:t>
      </w:r>
      <w:r>
        <w:t xml:space="preserve">, a solid if unspectacular showing for a low-beta regulated utility (reported beta near 0.47), and broadly in line with sector performance. The setup suggests the market has already priced in continued execution — meaning the bar for a positive reaction is less about beating the current-quarter number (Ameren has beaten estimates for at least four consecutive quarters) and more about</w:t>
      </w:r>
      <w:r>
        <w:t xml:space="preserve"> </w:t>
      </w:r>
      <w:r>
        <w:rPr>
          <w:b/>
          <w:bCs/>
        </w:rPr>
        <w:t xml:space="preserve">incremental data-center/ESA news flow, generation execution updates, and any early signals ahead of the September IRP</w:t>
      </w:r>
      <w:r>
        <w:t xml:space="preserve">.</w:t>
      </w:r>
    </w:p>
    <w:bookmarkEnd w:id="15"/>
    <w:bookmarkStart w:id="16" w:name="X10f8e7b36a2e30605e7537a982466cc752ada70"/>
    <w:p>
      <w:pPr>
        <w:pStyle w:val="Heading2"/>
      </w:pPr>
      <w:r>
        <w:t xml:space="preserve">8. Key Things to Listen For on the Call</w:t>
      </w:r>
    </w:p>
    <w:p>
      <w:pPr>
        <w:pStyle w:val="Compact"/>
        <w:numPr>
          <w:ilvl w:val="0"/>
          <w:numId w:val="1005"/>
        </w:numPr>
      </w:pPr>
      <w:r>
        <w:rPr>
          <w:b/>
          <w:bCs/>
        </w:rPr>
        <w:t xml:space="preserve">EPS vs. ~$1.08 consensus</w:t>
      </w:r>
      <w:r>
        <w:t xml:space="preserve">, and whether management raises confidence toward the top of the</w:t>
      </w:r>
      <w:r>
        <w:t xml:space="preserve"> </w:t>
      </w:r>
      <m:oMath>
        <m:r>
          <m:t>5.25</m:t>
        </m:r>
        <m:r>
          <m:rPr>
            <m:sty m:val="p"/>
          </m:rPr>
          <m:t>–</m:t>
        </m:r>
      </m:oMath>
      <w:r>
        <w:t xml:space="preserve">5.45 full-year range.</w:t>
      </w:r>
    </w:p>
    <w:p>
      <w:pPr>
        <w:pStyle w:val="Compact"/>
        <w:numPr>
          <w:ilvl w:val="0"/>
          <w:numId w:val="1005"/>
        </w:numPr>
      </w:pPr>
      <w:r>
        <w:rPr>
          <w:b/>
          <w:bCs/>
        </w:rPr>
        <w:t xml:space="preserve">Tree-trimming/O&amp;M cost trajectory</w:t>
      </w:r>
      <w:r>
        <w:t xml:space="preserve"> </w:t>
      </w:r>
      <w:r>
        <w:t xml:space="preserve">— flagged as a Q2-specific headwind.</w:t>
      </w:r>
    </w:p>
    <w:p>
      <w:pPr>
        <w:pStyle w:val="Compact"/>
        <w:numPr>
          <w:ilvl w:val="0"/>
          <w:numId w:val="1005"/>
        </w:numPr>
      </w:pPr>
      <w:r>
        <w:rPr>
          <w:b/>
          <w:bCs/>
        </w:rPr>
        <w:t xml:space="preserve">Data center pipeline updates</w:t>
      </w:r>
      <w:r>
        <w:t xml:space="preserve"> </w:t>
      </w:r>
      <w:r>
        <w:t xml:space="preserve">— new ESA signings, groundbreakings on the 2.2 GW Missouri cohort, and hyperscaler expansion conversations.</w:t>
      </w:r>
    </w:p>
    <w:p>
      <w:pPr>
        <w:pStyle w:val="Compact"/>
        <w:numPr>
          <w:ilvl w:val="0"/>
          <w:numId w:val="1005"/>
        </w:numPr>
      </w:pPr>
      <w:r>
        <w:rPr>
          <w:b/>
          <w:bCs/>
        </w:rPr>
        <w:t xml:space="preserve">Generation execution</w:t>
      </w:r>
      <w:r>
        <w:t xml:space="preserve"> </w:t>
      </w:r>
      <w:r>
        <w:t xml:space="preserve">— Castle Bluff/Big Hollow construction progress, turbine deliveries, and the ~3 GW of CCN filings expected by Q3.</w:t>
      </w:r>
    </w:p>
    <w:p>
      <w:pPr>
        <w:pStyle w:val="Compact"/>
        <w:numPr>
          <w:ilvl w:val="0"/>
          <w:numId w:val="1005"/>
        </w:numPr>
      </w:pPr>
      <w:r>
        <w:rPr>
          <w:b/>
          <w:bCs/>
        </w:rPr>
        <w:t xml:space="preserve">Missouri rate case dynamics</w:t>
      </w:r>
      <w:r>
        <w:t xml:space="preserve"> </w:t>
      </w:r>
      <w:r>
        <w:t xml:space="preserve">— any early stakeholder reaction to the $343M ask and 10.25% ROE request.</w:t>
      </w:r>
    </w:p>
    <w:p>
      <w:pPr>
        <w:pStyle w:val="Compact"/>
        <w:numPr>
          <w:ilvl w:val="0"/>
          <w:numId w:val="1005"/>
        </w:numPr>
      </w:pPr>
      <w:r>
        <w:rPr>
          <w:b/>
          <w:bCs/>
        </w:rPr>
        <w:t xml:space="preserve">MISO transmission</w:t>
      </w:r>
      <w:r>
        <w:t xml:space="preserve"> </w:t>
      </w:r>
      <w:r>
        <w:t xml:space="preserve">— updates on Tranche 2.1 competitive bid outcomes (expected by mid-2026).</w:t>
      </w:r>
    </w:p>
    <w:p>
      <w:pPr>
        <w:pStyle w:val="Compact"/>
        <w:numPr>
          <w:ilvl w:val="0"/>
          <w:numId w:val="1005"/>
        </w:numPr>
      </w:pPr>
      <w:r>
        <w:rPr>
          <w:b/>
          <w:bCs/>
        </w:rPr>
        <w:t xml:space="preserve">Financing cadence</w:t>
      </w:r>
      <w:r>
        <w:t xml:space="preserve"> </w:t>
      </w:r>
      <w:r>
        <w:t xml:space="preserve">— additional debt/equity issuance plans given the ramping capex plan.</w:t>
      </w:r>
    </w:p>
    <w:p>
      <w:pPr>
        <w:pStyle w:val="Compact"/>
        <w:numPr>
          <w:ilvl w:val="0"/>
          <w:numId w:val="1005"/>
        </w:numPr>
      </w:pPr>
      <w:r>
        <w:rPr>
          <w:b/>
          <w:bCs/>
        </w:rPr>
        <w:t xml:space="preserve">September IRP preview</w:t>
      </w:r>
      <w:r>
        <w:t xml:space="preserve"> </w:t>
      </w:r>
      <w:r>
        <w:t xml:space="preserve">— any hints on how large-load growth could reshape the 20-year generation and sales outlook.</w:t>
      </w:r>
    </w:p>
    <w:bookmarkEnd w:id="16"/>
    <w:bookmarkStart w:id="17" w:name="bottom-line"/>
    <w:p>
      <w:pPr>
        <w:pStyle w:val="Heading2"/>
      </w:pPr>
      <w:r>
        <w:t xml:space="preserve">Bottom Line</w:t>
      </w:r>
    </w:p>
    <w:p>
      <w:pPr>
        <w:pStyle w:val="FirstParagraph"/>
      </w:pPr>
      <w:r>
        <w:t xml:space="preserve">Ameren is a low-drama, high-visibility regulated utility story where the quarterly print itself is unlikely to be a major surprise — the company has consistently executed against guidance and beaten estimates. The real value of Thursday's call lies in the</w:t>
      </w:r>
      <w:r>
        <w:t xml:space="preserve"> </w:t>
      </w:r>
      <w:r>
        <w:rPr>
          <w:b/>
          <w:bCs/>
        </w:rPr>
        <w:t xml:space="preserve">incremental read-through on data center/large-load momentum, the Missouri rate case trajectory, and financing plans</w:t>
      </w:r>
      <w:r>
        <w:t xml:space="preserve"> </w:t>
      </w:r>
      <w:r>
        <w:t xml:space="preserve">supporting a capital program that keeps growing. Investors should treat the headline EPS number as a formality and focus on management's tone regarding load growth conversion, regulatory outcomes, and the September IRP as the real swing factors for the stock into year-end.</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2026-07-29T19:40:33Z</dcterms:created>
  <dcterms:modified xsi:type="dcterms:W3CDTF">2026-07-29T19:40:33Z</dcterms:modified>
</cp:coreProperties>
</file>

<file path=docProps/custom.xml><?xml version="1.0" encoding="utf-8"?>
<Properties xmlns="http://schemas.openxmlformats.org/officeDocument/2006/custom-properties" xmlns:vt="http://schemas.openxmlformats.org/officeDocument/2006/docPropsVTypes"/>
</file>