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e-earnings-predictions--2026-07-30"/>
    <w:p>
      <w:pPr>
        <w:pStyle w:val="Heading1"/>
      </w:pPr>
      <w:r>
        <w:t xml:space="preserve">AEE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~$1.09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~$2.31B vs. cons $2.28B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capital expenditures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~$1.60B vs. cons $1.55B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~$5.35 vs. cons $5.39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Missouri large-load sales ramp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~1.2 GW vs. cons 1.5 GW (by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Infrastructure 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~$31.8B vs. cons $31.8B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Signed Missouri energy-service agreements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~2.8 GW vs. cons 2.8 GW (Q2 2026 update)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-2.1% (FOLLOW-THROUGH)</w:t>
            </w:r>
          </w:p>
        </w:tc>
        <w:tc>
          <w:tcPr/>
          <w:p>
            <w:pPr>
              <w:pStyle w:val="Compact"/>
            </w:pPr>
            <w:r>
              <w:t xml:space="preserve">A roughly $0.01 quarterly EPS beat is unlikely to offset unchanged</w:t>
            </w:r>
            <w:r>
              <w:t xml:space="preserve"> 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t xml:space="preserve">5.45 guidance and a retained 1.2 GW 2030 sales assumption; the implied second-half EPS requirement of about $2.98 remains below the roughly $3.03 consensus, creating modest out-period estimate-cut risk.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2026-07-29T19:43:28Z</dcterms:created>
  <dcterms:modified xsi:type="dcterms:W3CDTF">2026-07-29T19:43:28Z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