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aee-q2-2026-earnings-preview"/>
    <w:p>
      <w:pPr>
        <w:pStyle w:val="Heading1"/>
      </w:pPr>
      <w:r>
        <w:t xml:space="preserve">AEE Q2 2026 Earnings Preview</w:t>
      </w:r>
    </w:p>
    <w:bookmarkStart w:id="10" w:name="event-timing"/>
    <w:p>
      <w:pPr>
        <w:pStyle w:val="Heading2"/>
      </w:pPr>
      <w:r>
        <w:t xml:space="preserve">Event timing</w:t>
      </w:r>
    </w:p>
    <w:p>
      <w:pPr>
        <w:pStyle w:val="FirstParagraph"/>
      </w:pPr>
      <w:r>
        <w:t xml:space="preserve">Ameren is expected to release second-quarter results</w:t>
      </w:r>
      <w:r>
        <w:t xml:space="preserve"> </w:t>
      </w:r>
      <w:r>
        <w:rPr>
          <w:b/>
          <w:bCs/>
        </w:rPr>
        <w:t xml:space="preserve">after the market closes on Thursday, July 30, 2026</w:t>
      </w:r>
      <w:r>
        <w:t xml:space="preserve">. The company’s official earnings call is scheduled for</w:t>
      </w:r>
      <w:r>
        <w:t xml:space="preserve"> </w:t>
      </w:r>
      <w:r>
        <w:rPr>
          <w:b/>
          <w:bCs/>
        </w:rPr>
        <w:t xml:space="preserve">Friday, July 31 at 10:00 a.m. Eastern</w:t>
      </w:r>
      <w:r>
        <w:t xml:space="preserve">, not July 30. (</w:t>
      </w:r>
      <w:hyperlink r:id="rId9">
        <w:r>
          <w:rPr>
            <w:rStyle w:val="Hyperlink"/>
          </w:rPr>
          <w:t xml:space="preserve">marketbeat.com</w:t>
        </w:r>
      </w:hyperlink>
      <w:r>
        <w:t xml:space="preserve">)</w:t>
      </w:r>
    </w:p>
    <w:bookmarkEnd w:id="10"/>
    <w:bookmarkStart w:id="11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1.06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1.08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2.28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2.30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$2.22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Company guidance:</w:t>
            </w:r>
            <w:r>
              <w:t xml:space="preserve"> 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5.45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Third-party estimate feeds cluster around</w:t>
      </w:r>
      <w:r>
        <w:t xml:space="preserve"> </w:t>
      </w:r>
      <m:oMath>
        <m:r>
          <m:t>1.06</m:t>
        </m:r>
        <m:r>
          <m:rPr>
            <m:sty m:val="p"/>
          </m:rPr>
          <m:t>−</m:t>
        </m:r>
      </m:oMath>
      <w:r>
        <w:t xml:space="preserve">1.08 of EPS, with the full-year consensus near $5.39—slightly above the midpoint of management’s range. (</w:t>
      </w:r>
      <w:hyperlink r:id="rId9">
        <w:r>
          <w:rPr>
            <w:rStyle w:val="Hyperlink"/>
          </w:rPr>
          <w:t xml:space="preserve">marketbeat.com</w:t>
        </w:r>
      </w:hyperlink>
      <w:r>
        <w:t xml:space="preserve">)</w:t>
      </w:r>
    </w:p>
    <w:bookmarkEnd w:id="11"/>
    <w:bookmarkStart w:id="12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rPr>
          <w:b/>
          <w:bCs/>
        </w:rPr>
        <w:t xml:space="preserve">The quarterly EPS result matters, but the call’s larger issue is whether Ameren can translate its rapidly expanding Missouri data-center pipeline into incremental rate base and earnings without creating financing, regulatory, or affordability problems.</w:t>
      </w:r>
    </w:p>
    <w:p>
      <w:pPr>
        <w:pStyle w:val="BodyText"/>
      </w:pPr>
      <w:r>
        <w:t xml:space="preserve">A result around consensus with reaffirmed guidance would be acceptable. A genuinely bullish report would require some combination of:</w:t>
      </w:r>
    </w:p>
    <w:p>
      <w:pPr>
        <w:pStyle w:val="Compact"/>
        <w:numPr>
          <w:ilvl w:val="0"/>
          <w:numId w:val="1001"/>
        </w:numPr>
      </w:pPr>
      <w:r>
        <w:t xml:space="preserve">An EPS beat despite elevated operating expenses.</w:t>
      </w:r>
    </w:p>
    <w:p>
      <w:pPr>
        <w:pStyle w:val="Compact"/>
        <w:numPr>
          <w:ilvl w:val="0"/>
          <w:numId w:val="1001"/>
        </w:numPr>
      </w:pPr>
      <w:r>
        <w:t xml:space="preserve">Guidance moving toward the upper half of the range.</w:t>
      </w:r>
    </w:p>
    <w:p>
      <w:pPr>
        <w:pStyle w:val="Compact"/>
        <w:numPr>
          <w:ilvl w:val="0"/>
          <w:numId w:val="1001"/>
        </w:numPr>
      </w:pPr>
      <w:r>
        <w:t xml:space="preserve">Faster or more visible load ramps from signed large-load agreements.</w:t>
      </w:r>
    </w:p>
    <w:p>
      <w:pPr>
        <w:pStyle w:val="Compact"/>
        <w:numPr>
          <w:ilvl w:val="0"/>
          <w:numId w:val="1001"/>
        </w:numPr>
      </w:pPr>
      <w:r>
        <w:t xml:space="preserve">Incremental capital investment tied to data centers and recent transmission awards.</w:t>
      </w:r>
    </w:p>
    <w:p>
      <w:pPr>
        <w:pStyle w:val="Compact"/>
        <w:numPr>
          <w:ilvl w:val="0"/>
          <w:numId w:val="1001"/>
        </w:numPr>
      </w:pPr>
      <w:r>
        <w:t xml:space="preserve">Continued on-time execution of the generation buildout.</w:t>
      </w:r>
    </w:p>
    <w:p>
      <w:r>
        <w:pict>
          <v:rect style="width:0;height:1.5pt" o:hralign="center" o:hrstd="t" o:hr="t"/>
        </w:pict>
      </w:r>
    </w:p>
    <w:bookmarkEnd w:id="12"/>
    <w:bookmarkStart w:id="19" w:name="likely-q2-earnings-bridge"/>
    <w:p>
      <w:pPr>
        <w:pStyle w:val="Heading2"/>
      </w:pPr>
      <w:r>
        <w:t xml:space="preserve">Likely Q2 earnings bridge</w:t>
      </w:r>
    </w:p>
    <w:bookmarkStart w:id="15" w:name="Xb110176fb3f627d46386ad6a8f44daca5922528"/>
    <w:p>
      <w:pPr>
        <w:pStyle w:val="Heading3"/>
      </w:pPr>
      <w:r>
        <w:t xml:space="preserve">1. Infrastructure investment remains the primary positive driver</w:t>
      </w:r>
    </w:p>
    <w:p>
      <w:pPr>
        <w:pStyle w:val="FirstParagraph"/>
      </w:pPr>
      <w:r>
        <w:t xml:space="preserve">Ameren entered the quarter with strong momentum from rate-base investment. First-quarter EPS increased to $1.28 from $1.07, led by earnings on infrastructure investments across Missouri, Illinois distribution, natural gas, and transmission.</w:t>
      </w:r>
    </w:p>
    <w:p>
      <w:pPr>
        <w:pStyle w:val="BodyText"/>
      </w:pPr>
      <w:r>
        <w:t xml:space="preserve">For Q2 specifically, management previously identified approximately</w:t>
      </w:r>
      <w:r>
        <w:t xml:space="preserve"> </w:t>
      </w:r>
      <w:r>
        <w:rPr>
          <w:b/>
          <w:bCs/>
        </w:rPr>
        <w:t xml:space="preserve">$0.03 per share of year-over-year benefit</w:t>
      </w:r>
      <w:r>
        <w:t xml:space="preserve"> </w:t>
      </w:r>
      <w:r>
        <w:t xml:space="preserve">from Ameren Missouri electric rates that took effect on June 1, 2025. Transmission and Illinois rate-base growth should provide additional support. (</w:t>
      </w:r>
      <w:hyperlink r:id="rId13">
        <w:r>
          <w:rPr>
            <w:rStyle w:val="Hyperlink"/>
          </w:rPr>
          <w:t xml:space="preserve">s21.q4cdn.com</w:t>
        </w:r>
      </w:hyperlink>
      <w:r>
        <w:t xml:space="preserve">)</w:t>
      </w:r>
    </w:p>
    <w:p>
      <w:pPr>
        <w:pStyle w:val="BodyText"/>
      </w:pPr>
      <w:r>
        <w:t xml:space="preserve">The long-term framework remains substantial: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$31.8 billion</w:t>
      </w:r>
      <w:r>
        <w:t xml:space="preserve"> </w:t>
      </w:r>
      <w:r>
        <w:t xml:space="preserve">of planned investment for 2026-2030.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10.6% rate-base CAGR</w:t>
      </w:r>
      <w:r>
        <w:t xml:space="preserve"> </w:t>
      </w:r>
      <w:r>
        <w:t xml:space="preserve">from 2025 through 2030.</w:t>
      </w:r>
    </w:p>
    <w:p>
      <w:pPr>
        <w:pStyle w:val="Compact"/>
        <w:numPr>
          <w:ilvl w:val="0"/>
          <w:numId w:val="1002"/>
        </w:numPr>
      </w:pPr>
      <w:r>
        <w:t xml:space="preserve">Long-term EPS growth targeted at</w:t>
      </w:r>
      <w:r>
        <w:t xml:space="preserve"> </w:t>
      </w:r>
      <w:r>
        <w:rPr>
          <w:b/>
          <w:bCs/>
        </w:rPr>
        <w:t xml:space="preserve">6%-8%</w:t>
      </w:r>
      <w:r>
        <w:t xml:space="preserve">, with management expecting results near the upper end. (</w:t>
      </w:r>
      <w:hyperlink r:id="rId14">
        <w:r>
          <w:rPr>
            <w:rStyle w:val="Hyperlink"/>
          </w:rPr>
          <w:t xml:space="preserve">amereninvestors.com</w:t>
        </w:r>
      </w:hyperlink>
      <w:r>
        <w:t xml:space="preserve">)</w:t>
      </w:r>
    </w:p>
    <w:bookmarkEnd w:id="15"/>
    <w:bookmarkStart w:id="16" w:name="X6d7e5524ddd15ec29ce4507f132e22a33997496"/>
    <w:p>
      <w:pPr>
        <w:pStyle w:val="Heading3"/>
      </w:pPr>
      <w:r>
        <w:t xml:space="preserve">2. Missouri weather may be modestly better than management’s initial assumption</w:t>
      </w:r>
    </w:p>
    <w:p>
      <w:pPr>
        <w:pStyle w:val="FirstParagraph"/>
      </w:pPr>
      <w:r>
        <w:t xml:space="preserve">Management’s Q1 materials assumed a return to normal weather would reduce Q2 EPS by roughly</w:t>
      </w:r>
      <w:r>
        <w:t xml:space="preserve"> </w:t>
      </w:r>
      <w:r>
        <w:rPr>
          <w:b/>
          <w:bCs/>
        </w:rPr>
        <w:t xml:space="preserve">$0.01 versus Q2 2025</w:t>
      </w:r>
      <w:r>
        <w:t xml:space="preserve">. Actual weather appears more favorable in Missouri than that initial assumption: population-weighted Missouri cooling-degree days through June 27 were approximately</w:t>
      </w:r>
      <w:r>
        <w:t xml:space="preserve"> </w:t>
      </w:r>
      <w:r>
        <w:rPr>
          <w:b/>
          <w:bCs/>
        </w:rPr>
        <w:t xml:space="preserve">12% above normal and 22% above the comparable prior-year period</w:t>
      </w:r>
      <w:r>
        <w:t xml:space="preserve">.</w:t>
      </w:r>
    </w:p>
    <w:p>
      <w:pPr>
        <w:pStyle w:val="BodyText"/>
      </w:pPr>
      <w:r>
        <w:t xml:space="preserve">Illinois was cooler, but Ameren Illinois electric distribution revenues are substantially decoupled from sales volumes. The net implication is a possible modest Missouri sales tailwind relative to management’s original quarterly bridge—not necessarily enough to drive a large beat by itself. (</w:t>
      </w:r>
      <w:hyperlink r:id="rId13">
        <w:r>
          <w:rPr>
            <w:rStyle w:val="Hyperlink"/>
          </w:rPr>
          <w:t xml:space="preserve">s21.q4cdn.com</w:t>
        </w:r>
      </w:hyperlink>
      <w:r>
        <w:t xml:space="preserve">)</w:t>
      </w:r>
    </w:p>
    <w:bookmarkEnd w:id="16"/>
    <w:bookmarkStart w:id="17" w:name="X29abb57eccbd9a01a23203cc3579ec32b269d66"/>
    <w:p>
      <w:pPr>
        <w:pStyle w:val="Heading3"/>
      </w:pPr>
      <w:r>
        <w:t xml:space="preserve">3. O&amp;M is the clearest near-term headwind</w:t>
      </w:r>
    </w:p>
    <w:p>
      <w:pPr>
        <w:pStyle w:val="FirstParagraph"/>
      </w:pPr>
      <w:r>
        <w:t xml:space="preserve">Management explicitly warned that 2026 would carry higher Ameren Missouri O&amp;M, particularly from:</w:t>
      </w:r>
    </w:p>
    <w:p>
      <w:pPr>
        <w:pStyle w:val="Compact"/>
        <w:numPr>
          <w:ilvl w:val="0"/>
          <w:numId w:val="1003"/>
        </w:numPr>
      </w:pPr>
      <w:r>
        <w:t xml:space="preserve">Tree trimming.</w:t>
      </w:r>
    </w:p>
    <w:p>
      <w:pPr>
        <w:pStyle w:val="Compact"/>
        <w:numPr>
          <w:ilvl w:val="0"/>
          <w:numId w:val="1003"/>
        </w:numPr>
      </w:pPr>
      <w:r>
        <w:t xml:space="preserve">Energy-center maintenance.</w:t>
      </w:r>
    </w:p>
    <w:p>
      <w:pPr>
        <w:pStyle w:val="Compact"/>
        <w:numPr>
          <w:ilvl w:val="0"/>
          <w:numId w:val="1003"/>
        </w:numPr>
      </w:pPr>
      <w:r>
        <w:t xml:space="preserve">Reliability-related spending concentrated in Q2.</w:t>
      </w:r>
    </w:p>
    <w:p>
      <w:pPr>
        <w:pStyle w:val="FirstParagraph"/>
      </w:pPr>
      <w:r>
        <w:t xml:space="preserve">Central Illinois also experienced multiple severe storms in June, creating some risk of incremental restoration and storm-response costs. (</w:t>
      </w:r>
      <w:hyperlink r:id="rId13">
        <w:r>
          <w:rPr>
            <w:rStyle w:val="Hyperlink"/>
          </w:rPr>
          <w:t xml:space="preserve">s21.q4cdn.com</w:t>
        </w:r>
      </w:hyperlink>
      <w:r>
        <w:t xml:space="preserve">)</w:t>
      </w:r>
    </w:p>
    <w:p>
      <w:pPr>
        <w:pStyle w:val="BodyText"/>
      </w:pPr>
      <w:r>
        <w:t xml:space="preserve">This is probably the most important variable in determining whether EPS lands near $1.05 or above $1.10.</w:t>
      </w:r>
    </w:p>
    <w:bookmarkEnd w:id="17"/>
    <w:bookmarkStart w:id="18" w:name="X0a64a5256426b2c7282a9406f25a96984b1c625"/>
    <w:p>
      <w:pPr>
        <w:pStyle w:val="Heading3"/>
      </w:pPr>
      <w:r>
        <w:t xml:space="preserve">4. Interest expense and share dilution remain offsets</w:t>
      </w:r>
    </w:p>
    <w:p>
      <w:pPr>
        <w:pStyle w:val="FirstParagraph"/>
      </w:pPr>
      <w:r>
        <w:t xml:space="preserve">Ameren’s capital plan requires substantial external financing. The company has outlined approximately</w:t>
      </w:r>
      <w:r>
        <w:t xml:space="preserve"> </w:t>
      </w:r>
      <w:r>
        <w:rPr>
          <w:b/>
          <w:bCs/>
        </w:rPr>
        <w:t xml:space="preserve">$4 billion of equity financing through 2030</w:t>
      </w:r>
      <w:r>
        <w:t xml:space="preserve">, including the expected settlement of forward-sale agreements covering roughly 6.4 million shares by year-end 2026.</w:t>
      </w:r>
    </w:p>
    <w:p>
      <w:pPr>
        <w:pStyle w:val="BodyText"/>
      </w:pPr>
      <w:r>
        <w:t xml:space="preserve">Higher debt balances and a larger share count will continue to absorb part of the rate-base-driven earnings growth. Investors should watch whether management changes the timing or size of the equity plan as incremental generation and transmission projects enter the pipeline. (</w:t>
      </w:r>
      <w:hyperlink r:id="rId13">
        <w:r>
          <w:rPr>
            <w:rStyle w:val="Hyperlink"/>
          </w:rPr>
          <w:t xml:space="preserve">s21.q4cdn.com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4" w:name="the-main-event-data-center-demand"/>
    <w:p>
      <w:pPr>
        <w:pStyle w:val="Heading2"/>
      </w:pPr>
      <w:r>
        <w:t xml:space="preserve">The main event: data-center demand</w:t>
      </w:r>
    </w:p>
    <w:bookmarkStart w:id="22" w:name="signed-demand-has-increased-to-28-gw"/>
    <w:p>
      <w:pPr>
        <w:pStyle w:val="Heading3"/>
      </w:pPr>
      <w:r>
        <w:t xml:space="preserve">Signed demand has increased to 2.8 GW</w:t>
      </w:r>
    </w:p>
    <w:p>
      <w:pPr>
        <w:pStyle w:val="FirstParagraph"/>
      </w:pPr>
      <w:r>
        <w:t xml:space="preserve">At the Q1 call, Ameren had announced 2.2 GW of signed Missouri energy service agreements. Subsequent Missouri regulatory testimony disclosed that signed agreements had risen to approximately</w:t>
      </w:r>
      <w:r>
        <w:t xml:space="preserve"> </w:t>
      </w:r>
      <w:r>
        <w:rPr>
          <w:b/>
          <w:bCs/>
        </w:rPr>
        <w:t xml:space="preserve">2.8 GW</w:t>
      </w:r>
      <w:r>
        <w:t xml:space="preserve">, compared with only</w:t>
      </w:r>
      <w:r>
        <w:t xml:space="preserve"> </w:t>
      </w:r>
      <w:r>
        <w:rPr>
          <w:b/>
          <w:bCs/>
        </w:rPr>
        <w:t xml:space="preserve">1.2 GW of new demand by 2030</w:t>
      </w:r>
      <w:r>
        <w:t xml:space="preserve"> </w:t>
      </w:r>
      <w:r>
        <w:t xml:space="preserve">embedded in Ameren’s existing five-year sales forecast.</w:t>
      </w:r>
    </w:p>
    <w:p>
      <w:pPr>
        <w:pStyle w:val="BodyText"/>
      </w:pPr>
      <w:r>
        <w:t xml:space="preserve">That creates meaningful potential upside—but only if the projects reach construction, energization, and contracted load-ramp milestones on schedule. (</w:t>
      </w:r>
      <w:hyperlink r:id="rId20">
        <w:r>
          <w:rPr>
            <w:rStyle w:val="Hyperlink"/>
          </w:rPr>
          <w:t xml:space="preserve">efis.psc.mo.gov</w:t>
        </w:r>
      </w:hyperlink>
      <w:r>
        <w:t xml:space="preserve">)</w:t>
      </w:r>
    </w:p>
    <w:p>
      <w:pPr>
        <w:pStyle w:val="BodyText"/>
      </w:pPr>
      <w:r>
        <w:t xml:space="preserve">Two notable customer announcements have improved the pipeline’s credibility:</w:t>
      </w:r>
    </w:p>
    <w:p>
      <w:pPr>
        <w:pStyle w:val="Compact"/>
        <w:numPr>
          <w:ilvl w:val="0"/>
          <w:numId w:val="1004"/>
        </w:numPr>
      </w:pPr>
      <w:r>
        <w:t xml:space="preserve">Google announced a</w:t>
      </w:r>
      <w:r>
        <w:t xml:space="preserve"> </w:t>
      </w:r>
      <w:r>
        <w:rPr>
          <w:b/>
          <w:bCs/>
        </w:rPr>
        <w:t xml:space="preserve">$15 billion</w:t>
      </w:r>
      <w:r>
        <w:t xml:space="preserve"> </w:t>
      </w:r>
      <w:r>
        <w:t xml:space="preserve">Missouri data-center investment in May.</w:t>
      </w:r>
    </w:p>
    <w:p>
      <w:pPr>
        <w:pStyle w:val="Compact"/>
        <w:numPr>
          <w:ilvl w:val="0"/>
          <w:numId w:val="1004"/>
        </w:numPr>
      </w:pPr>
      <w:r>
        <w:t xml:space="preserve">Amazon announced a</w:t>
      </w:r>
      <w:r>
        <w:t xml:space="preserve"> </w:t>
      </w:r>
      <w:r>
        <w:rPr>
          <w:b/>
          <w:bCs/>
        </w:rPr>
        <w:t xml:space="preserve">$10 billion</w:t>
      </w:r>
      <w:r>
        <w:t xml:space="preserve"> </w:t>
      </w:r>
      <w:r>
        <w:t xml:space="preserve">Montgomery County campus in June.</w:t>
      </w:r>
    </w:p>
    <w:p>
      <w:pPr>
        <w:pStyle w:val="FirstParagraph"/>
      </w:pPr>
      <w:r>
        <w:t xml:space="preserve">Ameren’s large-load tariff requires these customers to fund their grid interconnection costs upfront and includes minimum-demand commitments intended to protect existing customers. (</w:t>
      </w:r>
      <w:hyperlink r:id="rId21">
        <w:r>
          <w:rPr>
            <w:rStyle w:val="Hyperlink"/>
          </w:rPr>
          <w:t xml:space="preserve">ameren.com</w:t>
        </w:r>
      </w:hyperlink>
      <w:r>
        <w:t xml:space="preserve">)</w:t>
      </w:r>
    </w:p>
    <w:bookmarkEnd w:id="22"/>
    <w:bookmarkStart w:id="23" w:name="X8eaefdf31e9ba7b02e47f5ece6fc23a9e729da9"/>
    <w:p>
      <w:pPr>
        <w:pStyle w:val="Heading3"/>
      </w:pPr>
      <w:r>
        <w:t xml:space="preserve">What investors need management to clarify</w:t>
      </w:r>
    </w:p>
    <w:p>
      <w:pPr>
        <w:pStyle w:val="FirstParagraph"/>
      </w:pPr>
      <w:r>
        <w:t xml:space="preserve">The signed gigawatt headline is no longer enough. The market needs details on:</w:t>
      </w:r>
    </w:p>
    <w:p>
      <w:pPr>
        <w:pStyle w:val="Compact"/>
        <w:numPr>
          <w:ilvl w:val="0"/>
          <w:numId w:val="1005"/>
        </w:numPr>
      </w:pPr>
      <w:r>
        <w:t xml:space="preserve">How much of the 2.8 GW is expected to ramp by 2030.</w:t>
      </w:r>
    </w:p>
    <w:p>
      <w:pPr>
        <w:pStyle w:val="Compact"/>
        <w:numPr>
          <w:ilvl w:val="0"/>
          <w:numId w:val="1005"/>
        </w:numPr>
      </w:pPr>
      <w:r>
        <w:t xml:space="preserve">Whether groundbreaking and construction have begun for all major signed projects.</w:t>
      </w:r>
    </w:p>
    <w:p>
      <w:pPr>
        <w:pStyle w:val="Compact"/>
        <w:numPr>
          <w:ilvl w:val="0"/>
          <w:numId w:val="1005"/>
        </w:numPr>
      </w:pPr>
      <w:r>
        <w:t xml:space="preserve">The expected annual load-ramp cadence.</w:t>
      </w:r>
    </w:p>
    <w:p>
      <w:pPr>
        <w:pStyle w:val="Compact"/>
        <w:numPr>
          <w:ilvl w:val="0"/>
          <w:numId w:val="1005"/>
        </w:numPr>
      </w:pPr>
      <w:r>
        <w:t xml:space="preserve">Whether the signed agreements require additional generation within the current five-year window.</w:t>
      </w:r>
    </w:p>
    <w:p>
      <w:pPr>
        <w:pStyle w:val="Compact"/>
        <w:numPr>
          <w:ilvl w:val="0"/>
          <w:numId w:val="1005"/>
        </w:numPr>
      </w:pPr>
      <w:r>
        <w:t xml:space="preserve">How much customer and transmission capital is incremental to the existing $31.8 billion plan.</w:t>
      </w:r>
    </w:p>
    <w:p>
      <w:pPr>
        <w:pStyle w:val="Compact"/>
        <w:numPr>
          <w:ilvl w:val="0"/>
          <w:numId w:val="1005"/>
        </w:numPr>
      </w:pPr>
      <w:r>
        <w:t xml:space="preserve">The credit quality, collateral, minimum-demand, and termination protections within the agreements.</w:t>
      </w:r>
    </w:p>
    <w:p>
      <w:pPr>
        <w:pStyle w:val="FirstParagraph"/>
      </w:pPr>
      <w:r>
        <w:t xml:space="preserve">The most constructive outcome would be management formally increasing its five-year sales assumption above 1.2 GW or signaling that an increase is highly likely with the September integrated resource plan.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incremental-transmission-upside"/>
    <w:p>
      <w:pPr>
        <w:pStyle w:val="Heading2"/>
      </w:pPr>
      <w:r>
        <w:t xml:space="preserve">Incremental transmission upside</w:t>
      </w:r>
    </w:p>
    <w:p>
      <w:pPr>
        <w:pStyle w:val="FirstParagraph"/>
      </w:pPr>
      <w:r>
        <w:t xml:space="preserve">In May, MISO awarded a consortium led in part by Ameren Transmission Company of Illinois two major 765-kV projects:</w:t>
      </w:r>
    </w:p>
    <w:p>
      <w:pPr>
        <w:pStyle w:val="Compact"/>
        <w:numPr>
          <w:ilvl w:val="0"/>
          <w:numId w:val="1006"/>
        </w:numPr>
      </w:pPr>
      <w:r>
        <w:t xml:space="preserve">STIW, with a MISO-estimated cost of</w:t>
      </w:r>
      <w:r>
        <w:t xml:space="preserve"> </w:t>
      </w:r>
      <w:r>
        <w:rPr>
          <w:b/>
          <w:bCs/>
        </w:rPr>
        <w:t xml:space="preserve">$940 million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WIIL, with a MISO-estimated cost of</w:t>
      </w:r>
      <w:r>
        <w:t xml:space="preserve"> </w:t>
      </w:r>
      <w:r>
        <w:rPr>
          <w:b/>
          <w:bCs/>
        </w:rPr>
        <w:t xml:space="preserve">$718 million</w:t>
      </w:r>
      <w:r>
        <w:t xml:space="preserve">.</w:t>
      </w:r>
    </w:p>
    <w:p>
      <w:pPr>
        <w:pStyle w:val="FirstParagraph"/>
      </w:pPr>
      <w:r>
        <w:t xml:space="preserve">ATXI has a 43% ownership stake in each project, implying roughly</w:t>
      </w:r>
      <w:r>
        <w:t xml:space="preserve"> </w:t>
      </w:r>
      <w:r>
        <w:rPr>
          <w:b/>
          <w:bCs/>
        </w:rPr>
        <w:t xml:space="preserve">$713 million of gross proportional investment</w:t>
      </w:r>
      <w:r>
        <w:t xml:space="preserve"> </w:t>
      </w:r>
      <w:r>
        <w:t xml:space="preserve">before final project scope and cost updates. The projects are targeted for service in 2034. This appears to be a meaningful source of long-term capital-plan upside because Ameren’s prior plan included only transmission projects already assigned or awarded at the time it was issued. (</w:t>
      </w:r>
      <w:hyperlink r:id="rId25">
        <w:r>
          <w:rPr>
            <w:rStyle w:val="Hyperlink"/>
          </w:rPr>
          <w:t xml:space="preserve">amereninvestors.com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7"/>
        </w:numPr>
      </w:pPr>
      <w:r>
        <w:t xml:space="preserve">Whether this investment will be added to formal capital guidance.</w:t>
      </w:r>
    </w:p>
    <w:p>
      <w:pPr>
        <w:pStyle w:val="Compact"/>
        <w:numPr>
          <w:ilvl w:val="0"/>
          <w:numId w:val="1007"/>
        </w:numPr>
      </w:pPr>
      <w:r>
        <w:t xml:space="preserve">Expected spending by year.</w:t>
      </w:r>
    </w:p>
    <w:p>
      <w:pPr>
        <w:pStyle w:val="Compact"/>
        <w:numPr>
          <w:ilvl w:val="0"/>
          <w:numId w:val="1007"/>
        </w:numPr>
      </w:pPr>
      <w:r>
        <w:t xml:space="preserve">Regulatory approvals and cost-allocation treatment.</w:t>
      </w:r>
    </w:p>
    <w:p>
      <w:pPr>
        <w:pStyle w:val="Compact"/>
        <w:numPr>
          <w:ilvl w:val="0"/>
          <w:numId w:val="1007"/>
        </w:numPr>
      </w:pPr>
      <w:r>
        <w:t xml:space="preserve">Any further MISO competitive awards.</w:t>
      </w:r>
    </w:p>
    <w:p>
      <w:r>
        <w:pict>
          <v:rect style="width:0;height:1.5pt" o:hralign="center" o:hrstd="t" o:hr="t"/>
        </w:pict>
      </w:r>
    </w:p>
    <w:bookmarkEnd w:id="26"/>
    <w:bookmarkStart w:id="31" w:name="generation-and-regulatory-milestones"/>
    <w:p>
      <w:pPr>
        <w:pStyle w:val="Heading2"/>
      </w:pPr>
      <w:r>
        <w:t xml:space="preserve">Generation and regulatory milestones</w:t>
      </w:r>
    </w:p>
    <w:bookmarkStart w:id="28" w:name="missouri-rate-case"/>
    <w:p>
      <w:pPr>
        <w:pStyle w:val="Heading3"/>
      </w:pPr>
      <w:r>
        <w:t xml:space="preserve">Missouri rate case</w:t>
      </w:r>
    </w:p>
    <w:p>
      <w:pPr>
        <w:pStyle w:val="FirstParagraph"/>
      </w:pPr>
      <w:r>
        <w:t xml:space="preserve">Ameren Missouri filed a new electric rate request on June 26. The proceeding will run for up to 11 months, with new rates expected around June 2027 if approved.</w:t>
      </w:r>
    </w:p>
    <w:p>
      <w:pPr>
        <w:pStyle w:val="BodyText"/>
      </w:pPr>
      <w:r>
        <w:t xml:space="preserve">The filing is not a major Q2 earnings contributor, but it is important to the long-term thesis because it seeks recovery of grid upgrades and generation investment. Ameren also estimates that committed data-center customers will create approximately</w:t>
      </w:r>
      <w:r>
        <w:t xml:space="preserve"> </w:t>
      </w:r>
      <w:r>
        <w:rPr>
          <w:b/>
          <w:bCs/>
        </w:rPr>
        <w:t xml:space="preserve">$21 million of base-rate savings for existing customers over two years</w:t>
      </w:r>
      <w:r>
        <w:t xml:space="preserve">, an important argument as scrutiny over affordability grows. (</w:t>
      </w:r>
      <w:hyperlink r:id="rId27">
        <w:r>
          <w:rPr>
            <w:rStyle w:val="Hyperlink"/>
          </w:rPr>
          <w:t xml:space="preserve">amereninvestors.com</w:t>
        </w:r>
      </w:hyperlink>
      <w:r>
        <w:t xml:space="preserve">)</w:t>
      </w:r>
    </w:p>
    <w:bookmarkEnd w:id="28"/>
    <w:bookmarkStart w:id="30" w:name="generation-execution"/>
    <w:p>
      <w:pPr>
        <w:pStyle w:val="Heading3"/>
      </w:pPr>
      <w:r>
        <w:t xml:space="preserve">Generation execution</w:t>
      </w:r>
    </w:p>
    <w:p>
      <w:pPr>
        <w:pStyle w:val="FirstParagraph"/>
      </w:pPr>
      <w:r>
        <w:t xml:space="preserve">Key milestones to monitor include:</w:t>
      </w:r>
    </w:p>
    <w:p>
      <w:pPr>
        <w:pStyle w:val="Compact"/>
        <w:numPr>
          <w:ilvl w:val="0"/>
          <w:numId w:val="1008"/>
        </w:numPr>
      </w:pPr>
      <w:r>
        <w:t xml:space="preserve">Confirmation that the</w:t>
      </w:r>
      <w:r>
        <w:t xml:space="preserve"> </w:t>
      </w:r>
      <w:r>
        <w:rPr>
          <w:b/>
          <w:bCs/>
        </w:rPr>
        <w:t xml:space="preserve">300-MW Split Rail solar project</w:t>
      </w:r>
      <w:r>
        <w:t xml:space="preserve"> </w:t>
      </w:r>
      <w:r>
        <w:t xml:space="preserve">entered service around its June target.</w:t>
      </w:r>
    </w:p>
    <w:p>
      <w:pPr>
        <w:pStyle w:val="Compact"/>
        <w:numPr>
          <w:ilvl w:val="0"/>
          <w:numId w:val="1008"/>
        </w:numPr>
      </w:pPr>
      <w:r>
        <w:t xml:space="preserve">The Missouri PSC’s May approval of the</w:t>
      </w:r>
      <w:r>
        <w:t xml:space="preserve"> </w:t>
      </w:r>
      <w:r>
        <w:rPr>
          <w:b/>
          <w:bCs/>
        </w:rPr>
        <w:t xml:space="preserve">250-MW Reform solar project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Construction progress at the 800-MW Castle Bluff gas facility.</w:t>
      </w:r>
    </w:p>
    <w:p>
      <w:pPr>
        <w:pStyle w:val="Compact"/>
        <w:numPr>
          <w:ilvl w:val="0"/>
          <w:numId w:val="1008"/>
        </w:numPr>
      </w:pPr>
      <w:r>
        <w:t xml:space="preserve">Mobilization at the 800-MW gas and 400-MW battery Big Hollow complex.</w:t>
      </w:r>
    </w:p>
    <w:p>
      <w:pPr>
        <w:pStyle w:val="Compact"/>
        <w:numPr>
          <w:ilvl w:val="0"/>
          <w:numId w:val="1008"/>
        </w:numPr>
      </w:pPr>
      <w:r>
        <w:t xml:space="preserve">Regulatory progress on additional solar and battery-storage projects.</w:t>
      </w:r>
    </w:p>
    <w:p>
      <w:pPr>
        <w:pStyle w:val="Compact"/>
        <w:numPr>
          <w:ilvl w:val="0"/>
          <w:numId w:val="1008"/>
        </w:numPr>
      </w:pPr>
      <w:r>
        <w:t xml:space="preserve">Timing of the planned filing for approximately 3 GW of additional resources, led by a 2.1-GW combined-cycle facility. (</w:t>
      </w:r>
      <w:hyperlink r:id="rId29">
        <w:r>
          <w:rPr>
            <w:rStyle w:val="Hyperlink"/>
          </w:rPr>
          <w:t xml:space="preserve">psc.mo.gov</w:t>
        </w:r>
      </w:hyperlink>
      <w:r>
        <w:t xml:space="preserve">)</w:t>
      </w:r>
    </w:p>
    <w:p>
      <w:pPr>
        <w:pStyle w:val="FirstParagraph"/>
      </w:pPr>
      <w:r>
        <w:t xml:space="preserve">Project delays would matter more than a few cents of quarterly EPS because Ameren’s growth plan increasingly depends on placing generation assets into service in time to meet large-load demand.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guidance-reaffirmation-is-the-base-case"/>
    <w:p>
      <w:pPr>
        <w:pStyle w:val="Heading2"/>
      </w:pPr>
      <w:r>
        <w:t xml:space="preserve">Guidance: reaffirmation is the base case</w:t>
      </w:r>
    </w:p>
    <w:p>
      <w:pPr>
        <w:pStyle w:val="FirstParagraph"/>
      </w:pPr>
      <w:r>
        <w:t xml:space="preserve">A full-year increase is possible but should not be treated as the base case.</w:t>
      </w:r>
    </w:p>
    <w:p>
      <w:pPr>
        <w:pStyle w:val="BodyText"/>
      </w:pPr>
      <w:r>
        <w:t xml:space="preserve">At</w:t>
      </w:r>
      <w:r>
        <w:t xml:space="preserve"> </w:t>
      </w:r>
      <m:oMath>
        <m:r>
          <m:t>1.08</m:t>
        </m:r>
        <m:r>
          <m:t>o</m:t>
        </m:r>
        <m:r>
          <m:t>f</m:t>
        </m:r>
        <m:r>
          <m:t>Q</m:t>
        </m:r>
        <m:r>
          <m:t>2</m:t>
        </m:r>
        <m:r>
          <m:t>E</m:t>
        </m:r>
        <m:r>
          <m:t>P</m:t>
        </m:r>
        <m:r>
          <m:t>S</m:t>
        </m:r>
        <m:r>
          <m:rPr>
            <m:sty m:val="p"/>
          </m:rPr>
          <m:t>,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2.36 per share**. Ameren would then need</w:t>
      </w:r>
      <w:r>
        <w:t xml:space="preserve"> </w:t>
      </w:r>
      <m:oMath>
        <m:r>
          <m:t>2.89</m:t>
        </m:r>
        <m:r>
          <m:rPr>
            <m:sty m:val="p"/>
          </m:rPr>
          <m:t>−</m:t>
        </m:r>
      </m:oMath>
      <w:r>
        <w:rPr>
          <w:b/>
          <w:bCs/>
        </w:rPr>
        <w:t xml:space="preserve">3.09</w:t>
      </w:r>
      <w:r>
        <w:t xml:space="preserve"> </w:t>
      </w:r>
      <w:r>
        <w:t xml:space="preserve">in the second half to deliver its</w:t>
      </w:r>
      <w:r>
        <w:t xml:space="preserve"> </w:t>
      </w:r>
      <m:oMath>
        <m:r>
          <m:t>5.25</m:t>
        </m:r>
        <m:r>
          <m:rPr>
            <m:sty m:val="p"/>
          </m:rPr>
          <m:t>−</m:t>
        </m:r>
      </m:oMath>
      <w:r>
        <w:t xml:space="preserve">5.45 guidance range.</w:t>
      </w:r>
    </w:p>
    <w:p>
      <w:pPr>
        <w:pStyle w:val="BodyText"/>
      </w:pPr>
      <w:r>
        <w:t xml:space="preserve">Management has reasons to remain conservative:</w:t>
      </w:r>
    </w:p>
    <w:p>
      <w:pPr>
        <w:pStyle w:val="Compact"/>
        <w:numPr>
          <w:ilvl w:val="0"/>
          <w:numId w:val="1009"/>
        </w:numPr>
      </w:pPr>
      <w:r>
        <w:t xml:space="preserve">Higher tree-trimming and maintenance expense.</w:t>
      </w:r>
    </w:p>
    <w:p>
      <w:pPr>
        <w:pStyle w:val="Compact"/>
        <w:numPr>
          <w:ilvl w:val="0"/>
          <w:numId w:val="1009"/>
        </w:numPr>
      </w:pPr>
      <w:r>
        <w:t xml:space="preserve">Storm uncertainty.</w:t>
      </w:r>
    </w:p>
    <w:p>
      <w:pPr>
        <w:pStyle w:val="Compact"/>
        <w:numPr>
          <w:ilvl w:val="0"/>
          <w:numId w:val="1009"/>
        </w:numPr>
      </w:pPr>
      <w:r>
        <w:t xml:space="preserve">Interest expense.</w:t>
      </w:r>
    </w:p>
    <w:p>
      <w:pPr>
        <w:pStyle w:val="Compact"/>
        <w:numPr>
          <w:ilvl w:val="0"/>
          <w:numId w:val="1009"/>
        </w:numPr>
      </w:pPr>
      <w:r>
        <w:t xml:space="preserve">Equity dilution.</w:t>
      </w:r>
    </w:p>
    <w:p>
      <w:pPr>
        <w:pStyle w:val="Compact"/>
        <w:numPr>
          <w:ilvl w:val="0"/>
          <w:numId w:val="1009"/>
        </w:numPr>
      </w:pPr>
      <w:r>
        <w:t xml:space="preserve">Weather sensitivity during the seasonally important third quarter.</w:t>
      </w:r>
    </w:p>
    <w:p>
      <w:pPr>
        <w:pStyle w:val="Compact"/>
        <w:numPr>
          <w:ilvl w:val="0"/>
          <w:numId w:val="1009"/>
        </w:numPr>
      </w:pPr>
      <w:r>
        <w:t xml:space="preserve">Execution risk across a very large construction program.</w:t>
      </w:r>
    </w:p>
    <w:p>
      <w:pPr>
        <w:pStyle w:val="FirstParagraph"/>
      </w:pPr>
      <w:r>
        <w:rPr>
          <w:b/>
          <w:bCs/>
        </w:rPr>
        <w:t xml:space="preserve">Base case:</w:t>
      </w:r>
      <w:r>
        <w:t xml:space="preserve"> </w:t>
      </w:r>
      <w:r>
        <w:t xml:space="preserve">guidance is reaffirmed, perhaps accompanied by language that Ameren remains well positioned within the range. A move toward the upper half—or a narrowed range above the midpoint—would be a positive surprise.</w:t>
      </w:r>
    </w:p>
    <w:p>
      <w:r>
        <w:pict>
          <v:rect style="width:0;height:1.5pt" o:hralign="center" o:hrstd="t" o:hr="t"/>
        </w:pict>
      </w:r>
    </w:p>
    <w:bookmarkEnd w:id="32"/>
    <w:bookmarkStart w:id="33" w:name="earnings-scenarios"/>
    <w:p>
      <w:pPr>
        <w:pStyle w:val="Heading2"/>
      </w:pPr>
      <w:r>
        <w:t xml:space="preserve">Earnings scenarios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Q2 outcome</w:t>
            </w:r>
          </w:p>
        </w:tc>
        <w:tc>
          <w:tcPr/>
          <w:p>
            <w:pPr>
              <w:pStyle w:val="Compact"/>
            </w:pPr>
            <w:r>
              <w:t xml:space="preserve">Guidance and commentary</w:t>
            </w:r>
          </w:p>
        </w:tc>
        <w:tc>
          <w:tcPr/>
          <w:p>
            <w:pPr>
              <w:pStyle w:val="Compact"/>
            </w:pPr>
            <w:r>
              <w:t xml:space="preserve">Likely interpretation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</w:t>
            </w:r>
          </w:p>
        </w:tc>
        <w:tc>
          <w:tcPr/>
          <w:p>
            <w:pPr>
              <w:pStyle w:val="Compact"/>
            </w:pPr>
            <w:r>
              <w:t xml:space="preserve">EPS of</w:t>
            </w:r>
            <w:r>
              <w:t xml:space="preserve"> </w:t>
            </w:r>
            <w:r>
              <w:rPr>
                <w:b/>
                <w:bCs/>
              </w:rPr>
              <w:t xml:space="preserve">$1.12 or better</w:t>
            </w:r>
          </w:p>
        </w:tc>
        <w:tc>
          <w:tcPr/>
          <w:p>
            <w:pPr>
              <w:pStyle w:val="Compact"/>
            </w:pPr>
            <w:r>
              <w:t xml:space="preserve">Upper-half guidance language or raise; faster data-center ramp; incremental capital quantified</w:t>
            </w:r>
          </w:p>
        </w:tc>
        <w:tc>
          <w:tcPr/>
          <w:p>
            <w:pPr>
              <w:pStyle w:val="Compact"/>
            </w:pPr>
            <w:r>
              <w:t xml:space="preserve">Strong evidence that load growth is becoming near-term earnings upside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</w:p>
        </w:tc>
        <w:tc>
          <w:tcPr/>
          <w:p>
            <w:pPr>
              <w:pStyle w:val="Compact"/>
            </w:pPr>
            <w:r>
              <w:t xml:space="preserve">EPS of</w:t>
            </w:r>
            <w:r>
              <w:t xml:space="preserve"> </w:t>
            </w:r>
            <m:oMath>
              <m:r>
                <m:t>1.05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1.10</w:t>
            </w:r>
          </w:p>
        </w:tc>
        <w:tc>
          <w:tcPr/>
          <w:p>
            <w:pPr>
              <w:pStyle w:val="Compact"/>
            </w:pP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reaffirmed; projects broadly on schedule</w:t>
            </w:r>
          </w:p>
        </w:tc>
        <w:tc>
          <w:tcPr/>
          <w:p>
            <w:pPr>
              <w:pStyle w:val="Compact"/>
            </w:pPr>
            <w:r>
              <w:t xml:space="preserve">Solid regulated-utility execution, with the thesis dependent on future load milestones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</w:t>
            </w:r>
          </w:p>
        </w:tc>
        <w:tc>
          <w:tcPr/>
          <w:p>
            <w:pPr>
              <w:pStyle w:val="Compact"/>
            </w:pPr>
            <w:r>
              <w:t xml:space="preserve">EPS below</w:t>
            </w:r>
            <w:r>
              <w:t xml:space="preserve"> </w:t>
            </w:r>
            <w:r>
              <w:rPr>
                <w:b/>
                <w:bCs/>
              </w:rPr>
              <w:t xml:space="preserve">$1.02</w:t>
            </w:r>
          </w:p>
        </w:tc>
        <w:tc>
          <w:tcPr/>
          <w:p>
            <w:pPr>
              <w:pStyle w:val="Compact"/>
            </w:pPr>
            <w:r>
              <w:t xml:space="preserve">O&amp;M, storms, interest, or project delays pressure outlook</w:t>
            </w:r>
          </w:p>
        </w:tc>
        <w:tc>
          <w:tcPr/>
          <w:p>
            <w:pPr>
              <w:pStyle w:val="Compact"/>
            </w:pPr>
            <w:r>
              <w:t xml:space="preserve">Raises concern that cost and financing headwinds are absorbing rate-base growth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Start w:id="35" w:name="valuation-and-setup"/>
    <w:p>
      <w:pPr>
        <w:pStyle w:val="Heading2"/>
      </w:pPr>
      <w:r>
        <w:t xml:space="preserve">Valuation and setup</w:t>
      </w:r>
    </w:p>
    <w:p>
      <w:pPr>
        <w:pStyle w:val="FirstParagraph"/>
      </w:pPr>
      <w:r>
        <w:t xml:space="preserve">AEE was trading around</w:t>
      </w:r>
      <w:r>
        <w:t xml:space="preserve"> </w:t>
      </w:r>
      <w:r>
        <w:rPr>
          <w:b/>
          <w:bCs/>
        </w:rPr>
        <w:t xml:space="preserve">$110 on July 29</w:t>
      </w:r>
      <w:r>
        <w:t xml:space="preserve">, approximately 20.5 times the $5.39 full-year consensus estimate. The shares are therefore not entering the report at a distressed valuation; investors are already assigning value to Ameren’s above-average rate-base and load-growth prospects. (</w:t>
      </w:r>
      <w:hyperlink r:id="rId34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That creates a fairly high qualitative bar:</w:t>
      </w:r>
    </w:p>
    <w:p>
      <w:pPr>
        <w:pStyle w:val="Compact"/>
        <w:numPr>
          <w:ilvl w:val="0"/>
          <w:numId w:val="1010"/>
        </w:numPr>
      </w:pPr>
      <w:r>
        <w:t xml:space="preserve">A small EPS beat with unchanged guidance may not be sufficient.</w:t>
      </w:r>
    </w:p>
    <w:p>
      <w:pPr>
        <w:pStyle w:val="Compact"/>
        <w:numPr>
          <w:ilvl w:val="0"/>
          <w:numId w:val="1010"/>
        </w:numPr>
      </w:pPr>
      <w:r>
        <w:t xml:space="preserve">A quantified increase in customer-related capital or sales growth could matter substantially.</w:t>
      </w:r>
    </w:p>
    <w:p>
      <w:pPr>
        <w:pStyle w:val="Compact"/>
        <w:numPr>
          <w:ilvl w:val="0"/>
          <w:numId w:val="1010"/>
        </w:numPr>
      </w:pPr>
      <w:r>
        <w:t xml:space="preserve">Any evidence of data-center delays, higher financing needs, or regulatory pushback could outweigh an otherwise acceptable quarter.</w:t>
      </w:r>
    </w:p>
    <w:bookmarkEnd w:id="35"/>
    <w:bookmarkStart w:id="3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Expect a roughly in-line to modestly better Q2, with infrastructure investment and potentially favorable Missouri weather offset by higher O&amp;M, interest expense, and dilution.</w:t>
      </w:r>
    </w:p>
    <w:p>
      <w:pPr>
        <w:pStyle w:val="BodyText"/>
      </w:pPr>
      <w:r>
        <w:t xml:space="preserve">The decisive information will be forward-looking: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quickly will the 2.8 GW of signed Missouri demand ramp?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much incremental capital and earnings can Ameren earn from it?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Are generation projects on schedule to serve that demand?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Will management move its 2026 outlook toward the upper half?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will the company finance the expanding opportunity without materially increasing dilution or credit risk?</w:t>
      </w:r>
    </w:p>
    <w:p>
      <w:pPr>
        <w:pStyle w:val="FirstParagraph"/>
      </w:pPr>
      <w:r>
        <w:t xml:space="preserve">A clean quarter plus greater data-center visibility would reinforce AEE’s premium growth profile. A routine EPS beat without additional load-ramp or capital-plan detail would be less consequential.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fis.psc.mo.gov/Document/Display/877324" TargetMode="External" /><Relationship Type="http://schemas.openxmlformats.org/officeDocument/2006/relationships/hyperlink" Id="rId29" Target="https://psc.mo.gov/Electric/PSC_Grants_CCN_for_Ameren_Missouri_Energy_Generation_Project_-_pr-26-71?utm_source=openai" TargetMode="External" /><Relationship Type="http://schemas.openxmlformats.org/officeDocument/2006/relationships/hyperlink" Id="rId13" Target="https://s21.q4cdn.com/448935352/files/doc_financials/2026/q1/Q1-2026-Call-Slides-v-FINAL.pdf" TargetMode="External" /><Relationship Type="http://schemas.openxmlformats.org/officeDocument/2006/relationships/hyperlink" Id="rId21" Target="https://www.ameren.com/resource-center/amazon" TargetMode="External" /><Relationship Type="http://schemas.openxmlformats.org/officeDocument/2006/relationships/hyperlink" Id="rId14" Target="https://www.amereninvestors.com/investors/financial-releases/financial-releases-details/2026/Ameren-Announces-2025-Results-Affirms-Guidance-for-2026-Earnings-and-Issues-Long-Term-Growth-Guidance/default.aspx?utm_source=openai" TargetMode="External" /><Relationship Type="http://schemas.openxmlformats.org/officeDocument/2006/relationships/hyperlink" Id="rId25" Target="https://www.amereninvestors.com/investors/financial-releases/financial-releases-details/2026/MISO-selects-consortium-of-Ameren-GridLiance-Dairyland-Illinois-Municipal-Electric-Agency-to-deliver-major-grid-bolstering-projects-in-Illinois/default.aspx?utm_source=openai" TargetMode="External" /><Relationship Type="http://schemas.openxmlformats.org/officeDocument/2006/relationships/hyperlink" Id="rId27" Target="https://www.amereninvestors.com/investors/financial-releases/financial-releases-details/2026/Storm-hardening-electric-grid-upgrades-and-new-generation-underpin-request-to-update-electric-rates-in-mid-2027/default.aspx?utm_source=openai" TargetMode="External" /><Relationship Type="http://schemas.openxmlformats.org/officeDocument/2006/relationships/hyperlink" Id="rId34" Target="https://www.barchart.com/stocks/quotes/aee/earnings-estimates?utm_source=openai" TargetMode="External" /><Relationship Type="http://schemas.openxmlformats.org/officeDocument/2006/relationships/hyperlink" Id="rId9" Target="https://www.marketbeat.com/earnings/reports/2026-7-30-ameren-co-stock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fis.psc.mo.gov/Document/Display/877324" TargetMode="External" /><Relationship Type="http://schemas.openxmlformats.org/officeDocument/2006/relationships/hyperlink" Id="rId29" Target="https://psc.mo.gov/Electric/PSC_Grants_CCN_for_Ameren_Missouri_Energy_Generation_Project_-_pr-26-71?utm_source=openai" TargetMode="External" /><Relationship Type="http://schemas.openxmlformats.org/officeDocument/2006/relationships/hyperlink" Id="rId13" Target="https://s21.q4cdn.com/448935352/files/doc_financials/2026/q1/Q1-2026-Call-Slides-v-FINAL.pdf" TargetMode="External" /><Relationship Type="http://schemas.openxmlformats.org/officeDocument/2006/relationships/hyperlink" Id="rId21" Target="https://www.ameren.com/resource-center/amazon" TargetMode="External" /><Relationship Type="http://schemas.openxmlformats.org/officeDocument/2006/relationships/hyperlink" Id="rId14" Target="https://www.amereninvestors.com/investors/financial-releases/financial-releases-details/2026/Ameren-Announces-2025-Results-Affirms-Guidance-for-2026-Earnings-and-Issues-Long-Term-Growth-Guidance/default.aspx?utm_source=openai" TargetMode="External" /><Relationship Type="http://schemas.openxmlformats.org/officeDocument/2006/relationships/hyperlink" Id="rId25" Target="https://www.amereninvestors.com/investors/financial-releases/financial-releases-details/2026/MISO-selects-consortium-of-Ameren-GridLiance-Dairyland-Illinois-Municipal-Electric-Agency-to-deliver-major-grid-bolstering-projects-in-Illinois/default.aspx?utm_source=openai" TargetMode="External" /><Relationship Type="http://schemas.openxmlformats.org/officeDocument/2006/relationships/hyperlink" Id="rId27" Target="https://www.amereninvestors.com/investors/financial-releases/financial-releases-details/2026/Storm-hardening-electric-grid-upgrades-and-new-generation-underpin-request-to-update-electric-rates-in-mid-2027/default.aspx?utm_source=openai" TargetMode="External" /><Relationship Type="http://schemas.openxmlformats.org/officeDocument/2006/relationships/hyperlink" Id="rId34" Target="https://www.barchart.com/stocks/quotes/aee/earnings-estimates?utm_source=openai" TargetMode="External" /><Relationship Type="http://schemas.openxmlformats.org/officeDocument/2006/relationships/hyperlink" Id="rId9" Target="https://www.marketbeat.com/earnings/reports/2026-7-30-ameren-co-stock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2026-07-29T19:43:28Z</dcterms:created>
  <dcterms:modified xsi:type="dcterms:W3CDTF">2026-07-29T19:43:28Z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