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ee-earnings-predictions--2026-07-30"/>
    <w:p>
      <w:pPr>
        <w:pStyle w:val="Heading1"/>
      </w:pPr>
      <w:r>
        <w:t xml:space="preserve">AEE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 (2Q26)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~$1.16 vs. cons $1.14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revenue (2Q26)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~$1.98B vs. cons $1.95B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Missouri signed energy-services agreements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~2.6 GW vs. cons 2.5 GW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 diluted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5.25</m:t>
              </m:r>
              <m:r>
                <m:rPr>
                  <m:sty m:val="p"/>
                </m:rPr>
                <m:t>−</m:t>
              </m:r>
            </m:oMath>
            <w:r>
              <w:t xml:space="preserve">5.45 vs. cons $5.35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Missouri large-load sales assumption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~1.2 GW vs. cons 1.2 GW (by 2030)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Five-year capital plan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32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32B (2026-2030)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+0.4% (FADE)</w:t>
            </w:r>
          </w:p>
        </w:tc>
        <w:tc>
          <w:tcPr/>
          <w:p>
            <w:pPr>
              <w:pStyle w:val="Compact"/>
            </w:pPr>
            <w:r>
              <w:t xml:space="preserve">A modest EPS/ESA beat should initially support the premium growth narrative, but unchanged FY2026 EPS guidance (~</w:t>
            </w:r>
            <m:oMath>
              <m:r>
                <m:t>5.35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5.35 consensus) and unchanged embedded load-growth assumptions (~1.2 GW versus ~1.2 GW) leave limited basis for out-period estimate increases before the September IRP.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2026-07-29T19:38:47Z</dcterms:created>
  <dcterms:modified xsi:type="dcterms:W3CDTF">2026-07-29T19:38:47Z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