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meren-nyse-aee--2q26-earnings-preview"/>
    <w:p>
      <w:pPr>
        <w:pStyle w:val="Heading1"/>
      </w:pPr>
      <w:r>
        <w:t xml:space="preserve">Ameren (NYSE: AEE) — 2Q26 Earnings Preview</w:t>
      </w:r>
    </w:p>
    <w:p>
      <w:pPr>
        <w:pStyle w:val="FirstParagraph"/>
      </w:pPr>
      <w:r>
        <w:rPr>
          <w:b/>
          <w:bCs/>
        </w:rPr>
        <w:t xml:space="preserve">Event timing:</w:t>
      </w:r>
      <w:r>
        <w:t xml:space="preserve"> </w:t>
      </w:r>
      <w:r>
        <w:t xml:space="preserve">AEE is expected to report 2Q26 results on</w:t>
      </w:r>
      <w:r>
        <w:t xml:space="preserve"> </w:t>
      </w:r>
      <w:r>
        <w:rPr>
          <w:b/>
          <w:bCs/>
        </w:rPr>
        <w:t xml:space="preserve">Thursday, July 30, 2026</w:t>
      </w:r>
      <w:r>
        <w:t xml:space="preserve">. Ameren’s officially scheduled analyst webcast is</w:t>
      </w:r>
      <w:r>
        <w:t xml:space="preserve"> </w:t>
      </w:r>
      <w:r>
        <w:rPr>
          <w:b/>
          <w:bCs/>
        </w:rPr>
        <w:t xml:space="preserve">Friday, July 31, at 9:00 a.m. CT</w:t>
      </w:r>
      <w:r>
        <w:t xml:space="preserve">. The one-day distinction is consistent with its prior practice of releasing results ahead of the next-day call.</w:t>
      </w:r>
    </w:p>
    <w:bookmarkStart w:id="9" w:name="Xc99672be3bc6076e55dd9b3fe3b9cee55fcdfd2"/>
    <w:p>
      <w:pPr>
        <w:pStyle w:val="Heading2"/>
      </w:pPr>
      <w:r>
        <w:t xml:space="preserve">Investment view: the quarter matters less than the proof points on load growth, capital execution, and regulatory recovery</w:t>
      </w:r>
    </w:p>
    <w:p>
      <w:pPr>
        <w:pStyle w:val="FirstParagraph"/>
      </w:pPr>
      <w:r>
        <w:t xml:space="preserve">Ameren enters 2Q with its core regulated-utility earnings trajectory intact, but with investor focus increasingly shifting toward the</w:t>
      </w:r>
      <w:r>
        <w:t xml:space="preserve"> </w:t>
      </w:r>
      <w:r>
        <w:rPr>
          <w:i/>
          <w:iCs/>
        </w:rPr>
        <w:t xml:space="preserve">quality and timing</w:t>
      </w:r>
      <w:r>
        <w:t xml:space="preserve"> </w:t>
      </w:r>
      <w:r>
        <w:t xml:space="preserve">of its data-center-driven growth opportunity. The setup is favorable: 1Q earnings were well ahead year over year, management reaffirmed full-year guidance, and the company has a substantial infrastructure and generation buildout under way. The key question is whether 2Q provides tangible evidence that large-load agreements are moving from contractual commitments toward construction and ultimately load ramp.</w:t>
      </w:r>
    </w:p>
    <w:p>
      <w:pPr>
        <w:pStyle w:val="BodyText"/>
      </w:pPr>
      <w:r>
        <w:t xml:space="preserve">AEE closed July 29 at</w:t>
      </w:r>
      <w:r>
        <w:t xml:space="preserve"> </w:t>
      </w:r>
      <w:r>
        <w:rPr>
          <w:b/>
          <w:bCs/>
        </w:rPr>
        <w:t xml:space="preserve">$109.96</w:t>
      </w:r>
      <w:r>
        <w:t xml:space="preserve">, up approximately</w:t>
      </w:r>
      <w:r>
        <w:t xml:space="preserve"> </w:t>
      </w:r>
      <w:r>
        <w:rPr>
          <w:b/>
          <w:bCs/>
        </w:rPr>
        <w:t xml:space="preserve">10.1% year to date</w:t>
      </w:r>
      <w:r>
        <w:t xml:space="preserve">. That performance raises the importance of confirming—not merely reiterating—the long-term growth narrative.</w:t>
      </w:r>
    </w:p>
    <w:bookmarkEnd w:id="9"/>
    <w:bookmarkStart w:id="15" w:name="what-investors-should-expect"/>
    <w:p>
      <w:pPr>
        <w:pStyle w:val="Heading2"/>
      </w:pPr>
      <w:r>
        <w:t xml:space="preserve">What investors should expect</w:t>
      </w:r>
    </w:p>
    <w:bookmarkStart w:id="10" w:name="Xd3887dddd7ffe05e71664da0b49a4a163a94a93"/>
    <w:p>
      <w:pPr>
        <w:pStyle w:val="Heading3"/>
      </w:pPr>
      <w:r>
        <w:t xml:space="preserve">1. Guidance reaffirmation is the central near-term financial test</w:t>
      </w:r>
    </w:p>
    <w:p>
      <w:pPr>
        <w:pStyle w:val="FirstParagraph"/>
      </w:pPr>
      <w:r>
        <w:t xml:space="preserve">Ameren reaffirmed its</w:t>
      </w:r>
      <w:r>
        <w:t xml:space="preserve"> </w:t>
      </w:r>
      <w:r>
        <w:rPr>
          <w:b/>
          <w:bCs/>
        </w:rPr>
        <w:t xml:space="preserve">2026 EPS guidance of</w:t>
      </w:r>
      <w:r>
        <w:rPr>
          <w:b/>
          <w:bCs/>
        </w:rPr>
        <w:t xml:space="preserve"> </w:t>
      </w:r>
      <m:oMath>
        <m:r>
          <m:t>5.25</m:t>
        </m:r>
        <m:r>
          <m:rPr>
            <m:sty m:val="p"/>
          </m:rPr>
          <m:t>–</m:t>
        </m:r>
      </m:oMath>
      <w:r>
        <w:rPr>
          <w:b/>
          <w:bCs/>
        </w:rPr>
        <w:t xml:space="preserve">5.45</w:t>
      </w:r>
      <w:r>
        <w:t xml:space="preserve"> </w:t>
      </w:r>
      <w:r>
        <w:t xml:space="preserve">after 1Q, when it earned</w:t>
      </w:r>
      <w:r>
        <w:t xml:space="preserve"> </w:t>
      </w:r>
      <w:r>
        <w:rPr>
          <w:b/>
          <w:bCs/>
        </w:rPr>
        <w:t xml:space="preserve">$1.28 per diluted share</w:t>
      </w:r>
      <w:r>
        <w:t xml:space="preserve">, versus $1.07 in 1Q25. The first-quarter beat reflected higher earnings on infrastructure investment across all operating segments, partly offset by weather-driven softness in Missouri retail sales and higher interest expense.</w:t>
      </w:r>
    </w:p>
    <w:p>
      <w:pPr>
        <w:pStyle w:val="BodyText"/>
      </w:pPr>
      <w:r>
        <w:t xml:space="preserve">For 2Q, the clean reported comparison is against</w:t>
      </w:r>
      <w:r>
        <w:t xml:space="preserve"> </w:t>
      </w:r>
      <w:r>
        <w:rPr>
          <w:b/>
          <w:bCs/>
        </w:rPr>
        <w:t xml:space="preserve">$1.01 of diluted EPS in 2Q25</w:t>
      </w:r>
      <w:r>
        <w:t xml:space="preserve">. Last year’s second-quarter result benefited from infrastructure investment, new Missouri electric rates effective June 1, 2025, and cost discipline, while higher interest expense and softer retail sales offset some of the benefit.</w:t>
      </w:r>
    </w:p>
    <w:p>
      <w:pPr>
        <w:pStyle w:val="BodyText"/>
      </w:pPr>
      <w:r>
        <w:rPr>
          <w:b/>
          <w:bCs/>
        </w:rPr>
        <w:t xml:space="preserve">The issue is not simply whether AEE exceeds last year’s $1.01.</w:t>
      </w:r>
      <w:r>
        <w:t xml:space="preserve"> </w:t>
      </w:r>
      <w:r>
        <w:t xml:space="preserve">Investors will focus on the earnings cadence implied by management’s full-year range, whether weather was supportive or adverse, and whether higher planned reliability spending—especially tree trimming—pressured quarterly O&amp;M as management indicated it could.</w:t>
      </w:r>
    </w:p>
    <w:bookmarkEnd w:id="10"/>
    <w:bookmarkStart w:id="11" w:name="Xc85ca0ca8a119f909865b3da02f0c9a415be0a5"/>
    <w:p>
      <w:pPr>
        <w:pStyle w:val="Heading3"/>
      </w:pPr>
      <w:r>
        <w:t xml:space="preserve">2. Data-center conversion and construction milestones are the biggest upside catalyst</w:t>
      </w:r>
    </w:p>
    <w:p>
      <w:pPr>
        <w:pStyle w:val="FirstParagraph"/>
      </w:pPr>
      <w:r>
        <w:t xml:space="preserve">At the 1Q call, Ameren said it had:</w:t>
      </w:r>
    </w:p>
    <w:p>
      <w:pPr>
        <w:pStyle w:val="Compact"/>
        <w:numPr>
          <w:ilvl w:val="0"/>
          <w:numId w:val="1001"/>
        </w:numPr>
      </w:pPr>
      <w:r>
        <w:rPr>
          <w:b/>
          <w:bCs/>
        </w:rPr>
        <w:t xml:space="preserve">3.4 GW</w:t>
      </w:r>
      <w:r>
        <w:t xml:space="preserve"> </w:t>
      </w:r>
      <w:r>
        <w:t xml:space="preserve">of Missouri construction agreements;</w:t>
      </w:r>
    </w:p>
    <w:p>
      <w:pPr>
        <w:pStyle w:val="Compact"/>
        <w:numPr>
          <w:ilvl w:val="0"/>
          <w:numId w:val="1001"/>
        </w:numPr>
      </w:pPr>
      <w:r>
        <w:t xml:space="preserve">converted</w:t>
      </w:r>
      <w:r>
        <w:t xml:space="preserve"> </w:t>
      </w:r>
      <w:r>
        <w:rPr>
          <w:b/>
          <w:bCs/>
        </w:rPr>
        <w:t xml:space="preserve">2.2 GW</w:t>
      </w:r>
      <w:r>
        <w:t xml:space="preserve"> </w:t>
      </w:r>
      <w:r>
        <w:t xml:space="preserve">of that total into signed energy-services agreements (ESAs);</w:t>
      </w:r>
    </w:p>
    <w:p>
      <w:pPr>
        <w:pStyle w:val="Compact"/>
        <w:numPr>
          <w:ilvl w:val="0"/>
          <w:numId w:val="1001"/>
        </w:numPr>
      </w:pPr>
      <w:r>
        <w:t xml:space="preserve">expected the signed-ESA sites to move toward public announcements, groundbreaking, and construction activity during 2Q;</w:t>
      </w:r>
    </w:p>
    <w:p>
      <w:pPr>
        <w:pStyle w:val="Compact"/>
        <w:numPr>
          <w:ilvl w:val="0"/>
          <w:numId w:val="1001"/>
        </w:numPr>
      </w:pPr>
      <w:r>
        <w:t xml:space="preserve">expected that a portion of the remaining</w:t>
      </w:r>
      <w:r>
        <w:t xml:space="preserve"> </w:t>
      </w:r>
      <w:r>
        <w:rPr>
          <w:b/>
          <w:bCs/>
        </w:rPr>
        <w:t xml:space="preserve">1.2 GW</w:t>
      </w:r>
      <w:r>
        <w:t xml:space="preserve"> </w:t>
      </w:r>
      <w:r>
        <w:t xml:space="preserve">of construction agreements could convert into additional ESAs in the near term.</w:t>
      </w:r>
    </w:p>
    <w:p>
      <w:pPr>
        <w:pStyle w:val="FirstParagraph"/>
      </w:pPr>
      <w:r>
        <w:t xml:space="preserve">Management’s existing 2026–30 forecast assumes just</w:t>
      </w:r>
      <w:r>
        <w:t xml:space="preserve"> </w:t>
      </w:r>
      <w:r>
        <w:rPr>
          <w:b/>
          <w:bCs/>
        </w:rPr>
        <w:t xml:space="preserve">1.2 GW</w:t>
      </w:r>
      <w:r>
        <w:t xml:space="preserve"> </w:t>
      </w:r>
      <w:r>
        <w:t xml:space="preserve">of load growth by 2030, equivalent to a</w:t>
      </w:r>
      <w:r>
        <w:t xml:space="preserve"> </w:t>
      </w:r>
      <w:r>
        <w:rPr>
          <w:b/>
          <w:bCs/>
        </w:rPr>
        <w:t xml:space="preserve">6.2% compound sales-growth assumption</w:t>
      </w:r>
      <w:r>
        <w:t xml:space="preserve"> </w:t>
      </w:r>
      <w:r>
        <w:t xml:space="preserve">in Missouri. Thus, the 2.2 GW already under ESA represents potential upside</w:t>
      </w:r>
      <w:r>
        <w:t xml:space="preserve"> </w:t>
      </w:r>
      <w:r>
        <w:rPr>
          <w:i/>
          <w:iCs/>
        </w:rPr>
        <w:t xml:space="preserve">if</w:t>
      </w:r>
      <w:r>
        <w:t xml:space="preserve"> </w:t>
      </w:r>
      <w:r>
        <w:t xml:space="preserve">those loads ramp faster than embedded assumptions.</w:t>
      </w:r>
    </w:p>
    <w:p>
      <w:pPr>
        <w:pStyle w:val="BodyText"/>
      </w:pPr>
      <w:r>
        <w:rPr>
          <w:b/>
          <w:bCs/>
        </w:rPr>
        <w:t xml:space="preserve">What matters on the call:</w:t>
      </w:r>
    </w:p>
    <w:p>
      <w:pPr>
        <w:pStyle w:val="Compact"/>
        <w:numPr>
          <w:ilvl w:val="0"/>
          <w:numId w:val="1002"/>
        </w:numPr>
      </w:pPr>
      <w:r>
        <w:t xml:space="preserve">Did any of the 2.2 GW of ESA-backed projects break ground or make customer announcements?</w:t>
      </w:r>
    </w:p>
    <w:p>
      <w:pPr>
        <w:pStyle w:val="Compact"/>
        <w:numPr>
          <w:ilvl w:val="0"/>
          <w:numId w:val="1002"/>
        </w:numPr>
      </w:pPr>
      <w:r>
        <w:t xml:space="preserve">Did further construction agreements convert to ESAs?</w:t>
      </w:r>
    </w:p>
    <w:p>
      <w:pPr>
        <w:pStyle w:val="Compact"/>
        <w:numPr>
          <w:ilvl w:val="0"/>
          <w:numId w:val="1002"/>
        </w:numPr>
      </w:pPr>
      <w:r>
        <w:t xml:space="preserve">Has management gained confidence in the timing of the first material load ramp?</w:t>
      </w:r>
    </w:p>
    <w:p>
      <w:pPr>
        <w:pStyle w:val="Compact"/>
        <w:numPr>
          <w:ilvl w:val="0"/>
          <w:numId w:val="1002"/>
        </w:numPr>
      </w:pPr>
      <w:r>
        <w:t xml:space="preserve">Are large-load interconnection, generation, and transmission needs becoming sufficiently defined to support incremental capital spending?</w:t>
      </w:r>
    </w:p>
    <w:p>
      <w:pPr>
        <w:pStyle w:val="FirstParagraph"/>
      </w:pPr>
      <w:r>
        <w:t xml:space="preserve">The positive case is straightforward: customers pay the costs associated with serving their incremental demand under the relevant structure, while Ameren earns on incremental generation, distribution, and transmission investment. The risk is that construction, local permitting, financing, or customer timelines delay the actual sales ramp.</w:t>
      </w:r>
    </w:p>
    <w:bookmarkEnd w:id="11"/>
    <w:bookmarkStart w:id="12" w:name="X88bfc924b92fbce26f756d98a02e58a743f41da"/>
    <w:p>
      <w:pPr>
        <w:pStyle w:val="Heading3"/>
      </w:pPr>
      <w:r>
        <w:t xml:space="preserve">3. Capex execution is strong—but financing and dilution remain part of the equation</w:t>
      </w:r>
    </w:p>
    <w:p>
      <w:pPr>
        <w:pStyle w:val="FirstParagraph"/>
      </w:pPr>
      <w:r>
        <w:t xml:space="preserve">Ameren spent</w:t>
      </w:r>
      <w:r>
        <w:t xml:space="preserve"> </w:t>
      </w:r>
      <w:r>
        <w:rPr>
          <w:b/>
          <w:bCs/>
        </w:rPr>
        <w:t xml:space="preserve">$1.57 billion</w:t>
      </w:r>
      <w:r>
        <w:t xml:space="preserve"> </w:t>
      </w:r>
      <w:r>
        <w:t xml:space="preserve">on capital expenditures in 1Q26, up from</w:t>
      </w:r>
      <w:r>
        <w:t xml:space="preserve"> </w:t>
      </w:r>
      <w:r>
        <w:t xml:space="preserve">$1.06 billion a year earlier, and net PP&amp;E rose to **$</w:t>
      </w:r>
      <w:r>
        <w:t xml:space="preserve">40.5 billion** as of March 31 from $39.3 billion at year-end 2025. This is exactly the growth engine management wants investors to underwrite: substantial rate-base investment across Missouri, Illinois, and transmission.</w:t>
      </w:r>
    </w:p>
    <w:p>
      <w:pPr>
        <w:pStyle w:val="BodyText"/>
      </w:pPr>
      <w:r>
        <w:t xml:space="preserve">The offset is financing. In 1Q, interest expense rose to</w:t>
      </w:r>
      <w:r>
        <w:t xml:space="preserve"> </w:t>
      </w:r>
      <w:r>
        <w:rPr>
          <w:b/>
          <w:bCs/>
        </w:rPr>
        <w:t xml:space="preserve">$204 million</w:t>
      </w:r>
      <w:r>
        <w:t xml:space="preserve"> </w:t>
      </w:r>
      <w:r>
        <w:t xml:space="preserve">from</w:t>
      </w:r>
      <w:r>
        <w:t xml:space="preserve"> </w:t>
      </w:r>
      <m:oMath>
        <m:r>
          <m:t>175</m:t>
        </m:r>
        <m:r>
          <m:t>m</m:t>
        </m:r>
        <m:r>
          <m:t>i</m:t>
        </m:r>
        <m:r>
          <m:t>l</m:t>
        </m:r>
        <m:r>
          <m:t>l</m:t>
        </m:r>
        <m:r>
          <m:t>i</m:t>
        </m:r>
        <m:r>
          <m:t>o</m:t>
        </m:r>
        <m:r>
          <m:t>n</m:t>
        </m:r>
        <m:r>
          <m:rPr>
            <m:sty m:val="p"/>
          </m:rPr>
          <m:t>,</m:t>
        </m:r>
        <m:r>
          <m:t>w</m:t>
        </m:r>
        <m:r>
          <m:t>h</m:t>
        </m:r>
        <m:r>
          <m:t>i</m:t>
        </m:r>
        <m:r>
          <m:t>l</m:t>
        </m:r>
        <m:r>
          <m:t>e</m:t>
        </m:r>
        <m:r>
          <m:t>d</m:t>
        </m:r>
        <m:r>
          <m:t>i</m:t>
        </m:r>
        <m:r>
          <m:t>l</m:t>
        </m:r>
        <m:r>
          <m:t>u</m:t>
        </m:r>
        <m:r>
          <m:t>t</m:t>
        </m:r>
        <m:r>
          <m:t>e</m:t>
        </m:r>
        <m:r>
          <m:t>d</m:t>
        </m:r>
        <m:r>
          <m:t>w</m:t>
        </m:r>
        <m:r>
          <m:t>e</m:t>
        </m:r>
        <m:r>
          <m:t>i</m:t>
        </m:r>
        <m:r>
          <m:t>g</m:t>
        </m:r>
        <m:r>
          <m:t>h</m:t>
        </m:r>
        <m:r>
          <m:t>t</m:t>
        </m:r>
        <m:r>
          <m:t>e</m:t>
        </m:r>
        <m:r>
          <m:t>d</m:t>
        </m:r>
        <m:r>
          <m:rPr>
            <m:sty m:val="p"/>
          </m:rPr>
          <m:t>−</m:t>
        </m:r>
        <m:r>
          <m:t>a</m:t>
        </m:r>
        <m:r>
          <m:t>v</m:t>
        </m:r>
        <m:r>
          <m:t>e</m:t>
        </m:r>
        <m:r>
          <m:t>r</m:t>
        </m:r>
        <m:r>
          <m:t>a</m:t>
        </m:r>
        <m:r>
          <m:t>g</m:t>
        </m:r>
        <m:r>
          <m:t>e</m:t>
        </m:r>
        <m:r>
          <m:t>s</m:t>
        </m:r>
        <m:r>
          <m:t>h</m:t>
        </m:r>
        <m:r>
          <m:t>a</m:t>
        </m:r>
        <m:r>
          <m:t>r</m:t>
        </m:r>
        <m:r>
          <m:t>e</m:t>
        </m:r>
        <m:r>
          <m:t>s</m:t>
        </m:r>
        <m:r>
          <m:t>r</m:t>
        </m:r>
        <m:r>
          <m:t>o</m:t>
        </m:r>
        <m:r>
          <m:t>s</m:t>
        </m:r>
        <m:r>
          <m:t>e</m:t>
        </m:r>
        <m:r>
          <m:t>t</m:t>
        </m:r>
        <m:r>
          <m:t>o</m:t>
        </m:r>
        <m:r>
          <m:rPr>
            <m:sty m:val="p"/>
          </m:rPr>
          <m:t>*</m:t>
        </m:r>
        <m:r>
          <m:rPr>
            <m:sty m:val="p"/>
          </m:rPr>
          <m:t>*</m:t>
        </m:r>
        <m:r>
          <m:t>278.4</m:t>
        </m:r>
        <m:r>
          <m:t>m</m:t>
        </m:r>
        <m:r>
          <m:t>i</m:t>
        </m:r>
        <m:r>
          <m:t>l</m:t>
        </m:r>
        <m:r>
          <m:t>l</m:t>
        </m:r>
        <m:r>
          <m:t>i</m:t>
        </m:r>
        <m:r>
          <m:t>o</m:t>
        </m:r>
        <m:r>
          <m:t>n</m:t>
        </m:r>
        <m:r>
          <m:rPr>
            <m:sty m:val="p"/>
          </m:rPr>
          <m:t>*</m:t>
        </m:r>
        <m:r>
          <m:rPr>
            <m:sty m:val="p"/>
          </m:rPr>
          <m:t>*</m:t>
        </m:r>
        <m:r>
          <m:t>f</m:t>
        </m:r>
        <m:r>
          <m:t>r</m:t>
        </m:r>
        <m:r>
          <m:t>o</m:t>
        </m:r>
        <m:r>
          <m:t>m</m:t>
        </m:r>
        <m:r>
          <m:t>271.4</m:t>
        </m:r>
        <m:r>
          <m:t>m</m:t>
        </m:r>
        <m:r>
          <m:t>i</m:t>
        </m:r>
        <m:r>
          <m:t>l</m:t>
        </m:r>
        <m:r>
          <m:t>l</m:t>
        </m:r>
        <m:r>
          <m:t>i</m:t>
        </m:r>
        <m:r>
          <m:t>o</m:t>
        </m:r>
        <m:r>
          <m:t>n</m:t>
        </m:r>
        <m:r>
          <m:rPr>
            <m:sty m:val="p"/>
          </m:rPr>
          <m:t>.</m:t>
        </m:r>
        <m:r>
          <m:t>M</m:t>
        </m:r>
        <m:r>
          <m:t>a</m:t>
        </m:r>
        <m:r>
          <m:t>n</m:t>
        </m:r>
        <m:r>
          <m:t>a</m:t>
        </m:r>
        <m:r>
          <m:t>g</m:t>
        </m:r>
        <m:r>
          <m:t>e</m:t>
        </m:r>
        <m:r>
          <m:t>m</m:t>
        </m:r>
        <m:r>
          <m:t>e</m:t>
        </m:r>
        <m:r>
          <m:t>n</m:t>
        </m:r>
        <m:r>
          <m:t>t</m:t>
        </m:r>
        <m:r>
          <m:t>h</m:t>
        </m:r>
        <m:r>
          <m:t>a</m:t>
        </m:r>
        <m:r>
          <m:t>s</m:t>
        </m:r>
        <m:r>
          <m:t>d</m:t>
        </m:r>
        <m:r>
          <m:t>e</m:t>
        </m:r>
        <m:r>
          <m:t>s</m:t>
        </m:r>
        <m:r>
          <m:t>c</m:t>
        </m:r>
        <m:r>
          <m:t>r</m:t>
        </m:r>
        <m:r>
          <m:t>i</m:t>
        </m:r>
        <m:r>
          <m:t>b</m:t>
        </m:r>
        <m:r>
          <m:t>e</m:t>
        </m:r>
        <m:r>
          <m:t>d</m:t>
        </m:r>
        <m:r>
          <m:t>a</m:t>
        </m:r>
        <m:r>
          <m:t>n</m:t>
        </m:r>
        <m:r>
          <m:t>a</m:t>
        </m:r>
        <m:r>
          <m:t>p</m:t>
        </m:r>
        <m:r>
          <m:t>p</m:t>
        </m:r>
        <m:r>
          <m:t>r</m:t>
        </m:r>
        <m:r>
          <m:t>o</m:t>
        </m:r>
        <m:r>
          <m:t>x</m:t>
        </m:r>
        <m:r>
          <m:t>i</m:t>
        </m:r>
        <m:r>
          <m:t>m</m:t>
        </m:r>
        <m:r>
          <m:t>a</m:t>
        </m:r>
        <m:r>
          <m:t>t</m:t>
        </m:r>
        <m:r>
          <m:t>e</m:t>
        </m:r>
        <m:r>
          <m:t>l</m:t>
        </m:r>
        <m:r>
          <m:t>y</m:t>
        </m:r>
        <m:r>
          <m:rPr>
            <m:sty m:val="p"/>
          </m:rPr>
          <m:t>*</m:t>
        </m:r>
        <m:r>
          <m:rPr>
            <m:sty m:val="p"/>
          </m:rPr>
          <m:t>*</m:t>
        </m:r>
      </m:oMath>
      <w:r>
        <w:t xml:space="preserve">4 billion equity-issuance requirement for 2026–30**. It has already arranged roughly $600 million of forward equity expected to settle near year-end and sold about $600 million under its ATM program during 2026 as of the May call.</w:t>
      </w:r>
    </w:p>
    <w:p>
      <w:pPr>
        <w:pStyle w:val="BodyText"/>
      </w:pPr>
      <w:r>
        <w:rPr>
          <w:b/>
          <w:bCs/>
        </w:rPr>
        <w:t xml:space="preserve">Investor takeaway:</w:t>
      </w:r>
      <w:r>
        <w:t xml:space="preserve"> </w:t>
      </w:r>
      <w:r>
        <w:t xml:space="preserve">sustained capital deployment is constructive only if regulatory recovery, project execution, credit metrics, and equity issuance remain well managed. Commentary on financing needs and the expected 2026 share count should receive close attention.</w:t>
      </w:r>
    </w:p>
    <w:bookmarkEnd w:id="12"/>
    <w:bookmarkStart w:id="13" w:name="Xbdd9d4ed4b6e1b3f664b9fc321e4120757d0ec9"/>
    <w:p>
      <w:pPr>
        <w:pStyle w:val="Heading3"/>
      </w:pPr>
      <w:r>
        <w:t xml:space="preserve">4. The June Missouri rate case creates a material medium-term regulatory milestone</w:t>
      </w:r>
    </w:p>
    <w:p>
      <w:pPr>
        <w:pStyle w:val="FirstParagraph"/>
      </w:pPr>
      <w:r>
        <w:t xml:space="preserve">On June 26, Ameren Missouri filed for a</w:t>
      </w:r>
      <w:r>
        <w:t xml:space="preserve"> </w:t>
      </w:r>
      <m:oMath>
        <m:r>
          <m:t>343</m:t>
        </m:r>
        <m:r>
          <m:t>m</m:t>
        </m:r>
        <m:r>
          <m:t>i</m:t>
        </m:r>
        <m:r>
          <m:t>l</m:t>
        </m:r>
        <m:r>
          <m:t>l</m:t>
        </m:r>
        <m:r>
          <m:t>i</m:t>
        </m:r>
        <m:r>
          <m:t>o</m:t>
        </m:r>
        <m:r>
          <m:t>n</m:t>
        </m:r>
        <m:r>
          <m:t>a</m:t>
        </m:r>
        <m:r>
          <m:t>n</m:t>
        </m:r>
        <m:r>
          <m:t>n</m:t>
        </m:r>
        <m:r>
          <m:t>u</m:t>
        </m:r>
        <m:r>
          <m:t>a</m:t>
        </m:r>
        <m:r>
          <m:t>l</m:t>
        </m:r>
        <m:r>
          <m:t>e</m:t>
        </m:r>
        <m:r>
          <m:t>l</m:t>
        </m:r>
        <m:r>
          <m:t>e</m:t>
        </m:r>
        <m:r>
          <m:t>c</m:t>
        </m:r>
        <m:r>
          <m:t>t</m:t>
        </m:r>
        <m:r>
          <m:t>r</m:t>
        </m:r>
        <m:r>
          <m:t>i</m:t>
        </m:r>
        <m:r>
          <m:t>c</m:t>
        </m:r>
        <m:r>
          <m:t>r</m:t>
        </m:r>
        <m:r>
          <m:t>e</m:t>
        </m:r>
        <m:r>
          <m:t>v</m:t>
        </m:r>
        <m:r>
          <m:t>e</m:t>
        </m:r>
        <m:r>
          <m:t>n</m:t>
        </m:r>
        <m:r>
          <m:t>u</m:t>
        </m:r>
        <m:r>
          <m:t>e</m:t>
        </m:r>
        <m:r>
          <m:t>i</m:t>
        </m:r>
        <m:r>
          <m:t>n</m:t>
        </m:r>
        <m:r>
          <m:t>c</m:t>
        </m:r>
        <m:r>
          <m:t>r</m:t>
        </m:r>
        <m:r>
          <m:t>e</m:t>
        </m:r>
        <m:r>
          <m:t>a</m:t>
        </m:r>
        <m:r>
          <m:t>s</m:t>
        </m:r>
        <m:r>
          <m:t>e</m:t>
        </m:r>
        <m:r>
          <m:rPr>
            <m:sty m:val="p"/>
          </m:rPr>
          <m:t>*</m:t>
        </m:r>
        <m:r>
          <m:rPr>
            <m:sty m:val="p"/>
          </m:rPr>
          <m:t>*</m:t>
        </m:r>
        <m:r>
          <m:rPr>
            <m:sty m:val="p"/>
          </m:rPr>
          <m:t>,</m:t>
        </m:r>
        <m:r>
          <m:t>b</m:t>
        </m:r>
        <m:r>
          <m:t>a</m:t>
        </m:r>
        <m:r>
          <m:t>s</m:t>
        </m:r>
        <m:r>
          <m:t>e</m:t>
        </m:r>
        <m:r>
          <m:t>d</m:t>
        </m:r>
        <m:r>
          <m:t>o</m:t>
        </m:r>
        <m:r>
          <m:t>n</m:t>
        </m:r>
        <m:r>
          <m:t>a</m:t>
        </m:r>
        <m:r>
          <m:t>r</m:t>
        </m:r>
        <m:r>
          <m:t>e</m:t>
        </m:r>
        <m:r>
          <m:t>q</m:t>
        </m:r>
        <m:r>
          <m:t>u</m:t>
        </m:r>
        <m:r>
          <m:t>e</m:t>
        </m:r>
        <m:r>
          <m:t>s</m:t>
        </m:r>
        <m:r>
          <m:t>t</m:t>
        </m:r>
        <m:r>
          <m:t>e</m:t>
        </m:r>
        <m:r>
          <m:t>d</m:t>
        </m:r>
        <m:r>
          <m:rPr>
            <m:sty m:val="p"/>
          </m:rPr>
          <m:t>*</m:t>
        </m:r>
        <m:r>
          <m:rPr>
            <m:sty m:val="p"/>
          </m:rPr>
          <m:t>*</m:t>
        </m:r>
        <m:r>
          <m:t>10.25</m:t>
        </m:r>
      </m:oMath>
      <w:r>
        <w:rPr>
          <w:b/>
          <w:bCs/>
        </w:rPr>
        <w:t xml:space="preserve">16.7 billion rate base</w:t>
      </w:r>
      <w:r>
        <w:t xml:space="preserve">. The filing is intended to recover grid reliability and resilience investment, investment in existing generation and 400 MW of new generation, and the effects of accelerated tax-credit benefits to customers.</w:t>
      </w:r>
    </w:p>
    <w:p>
      <w:pPr>
        <w:pStyle w:val="BodyText"/>
      </w:pPr>
      <w:r>
        <w:t xml:space="preserve">The Missouri PSC decision is expected by</w:t>
      </w:r>
      <w:r>
        <w:t xml:space="preserve"> </w:t>
      </w:r>
      <w:r>
        <w:rPr>
          <w:b/>
          <w:bCs/>
        </w:rPr>
        <w:t xml:space="preserve">May 2027</w:t>
      </w:r>
      <w:r>
        <w:t xml:space="preserve">, with new rates potentially effective in</w:t>
      </w:r>
      <w:r>
        <w:t xml:space="preserve"> </w:t>
      </w:r>
      <w:r>
        <w:rPr>
          <w:b/>
          <w:bCs/>
        </w:rPr>
        <w:t xml:space="preserve">June 2027</w:t>
      </w:r>
      <w:r>
        <w:t xml:space="preserve">.</w:t>
      </w:r>
    </w:p>
    <w:p>
      <w:pPr>
        <w:pStyle w:val="BodyText"/>
      </w:pPr>
      <w:r>
        <w:t xml:space="preserve">This filing is not a 2Q earnings driver, but it meaningfully frames the next regulatory debate. Investors should listen for management’s characterization of stakeholder engagement, affordability, the requested trackers, and confidence that the eventual order can support the company’s investment program.</w:t>
      </w:r>
    </w:p>
    <w:bookmarkEnd w:id="13"/>
    <w:bookmarkStart w:id="14" w:name="Xeae5e8328f871837589c5d334cc9ef74747373a"/>
    <w:p>
      <w:pPr>
        <w:pStyle w:val="Heading3"/>
      </w:pPr>
      <w:r>
        <w:t xml:space="preserve">5. Generation-project milestones will determine credibility of the load-growth plan</w:t>
      </w:r>
    </w:p>
    <w:p>
      <w:pPr>
        <w:pStyle w:val="FirstParagraph"/>
      </w:pPr>
      <w:r>
        <w:t xml:space="preserve">Ameren is simultaneously trying to expand supply while preparing for potentially large new loads. At 1Q, management highlighted:</w:t>
      </w:r>
    </w:p>
    <w:p>
      <w:pPr>
        <w:pStyle w:val="Compact"/>
        <w:numPr>
          <w:ilvl w:val="0"/>
          <w:numId w:val="1003"/>
        </w:numPr>
      </w:pPr>
      <w:r>
        <w:t xml:space="preserve">the</w:t>
      </w:r>
      <w:r>
        <w:t xml:space="preserve"> </w:t>
      </w:r>
      <w:r>
        <w:rPr>
          <w:b/>
          <w:bCs/>
        </w:rPr>
        <w:t xml:space="preserve">50 MW Bowling Green</w:t>
      </w:r>
      <w:r>
        <w:t xml:space="preserve"> </w:t>
      </w:r>
      <w:r>
        <w:t xml:space="preserve">facility entering service in March;</w:t>
      </w:r>
    </w:p>
    <w:p>
      <w:pPr>
        <w:pStyle w:val="Compact"/>
        <w:numPr>
          <w:ilvl w:val="0"/>
          <w:numId w:val="1003"/>
        </w:numPr>
      </w:pPr>
      <w:r>
        <w:t xml:space="preserve">final commissioning activity at the</w:t>
      </w:r>
      <w:r>
        <w:t xml:space="preserve"> </w:t>
      </w:r>
      <w:r>
        <w:rPr>
          <w:b/>
          <w:bCs/>
        </w:rPr>
        <w:t xml:space="preserve">300 MW Split Rail</w:t>
      </w:r>
      <w:r>
        <w:t xml:space="preserve"> </w:t>
      </w:r>
      <w:r>
        <w:t xml:space="preserve">project;</w:t>
      </w:r>
    </w:p>
    <w:p>
      <w:pPr>
        <w:pStyle w:val="Compact"/>
        <w:numPr>
          <w:ilvl w:val="0"/>
          <w:numId w:val="1003"/>
        </w:numPr>
      </w:pPr>
      <w:r>
        <w:t xml:space="preserve">construction progress at</w:t>
      </w:r>
      <w:r>
        <w:t xml:space="preserve"> </w:t>
      </w:r>
      <w:r>
        <w:rPr>
          <w:b/>
          <w:bCs/>
        </w:rPr>
        <w:t xml:space="preserve">Castle Bluff</w:t>
      </w:r>
      <w:r>
        <w:t xml:space="preserve">, an 800 MW simple-cycle gas plant targeted for 2027;</w:t>
      </w:r>
    </w:p>
    <w:p>
      <w:pPr>
        <w:pStyle w:val="Compact"/>
        <w:numPr>
          <w:ilvl w:val="0"/>
          <w:numId w:val="1003"/>
        </w:numPr>
      </w:pPr>
      <w:r>
        <w:t xml:space="preserve">preparation for construction at</w:t>
      </w:r>
      <w:r>
        <w:t xml:space="preserve"> </w:t>
      </w:r>
      <w:r>
        <w:rPr>
          <w:b/>
          <w:bCs/>
        </w:rPr>
        <w:t xml:space="preserve">Big Hollow</w:t>
      </w:r>
      <w:r>
        <w:t xml:space="preserve">, another 800 MW simple-cycle facility targeted for 2028, alongside 400 MW of battery storage;</w:t>
      </w:r>
    </w:p>
    <w:p>
      <w:pPr>
        <w:pStyle w:val="Compact"/>
        <w:numPr>
          <w:ilvl w:val="0"/>
          <w:numId w:val="1003"/>
        </w:numPr>
      </w:pPr>
      <w:r>
        <w:t xml:space="preserve">plans to seek approvals for roughly</w:t>
      </w:r>
      <w:r>
        <w:t xml:space="preserve"> </w:t>
      </w:r>
      <w:r>
        <w:rPr>
          <w:b/>
          <w:bCs/>
        </w:rPr>
        <w:t xml:space="preserve">3 GW</w:t>
      </w:r>
      <w:r>
        <w:t xml:space="preserve"> </w:t>
      </w:r>
      <w:r>
        <w:t xml:space="preserve">of additional generation, including the</w:t>
      </w:r>
      <w:r>
        <w:t xml:space="preserve"> </w:t>
      </w:r>
      <w:r>
        <w:rPr>
          <w:b/>
          <w:bCs/>
        </w:rPr>
        <w:t xml:space="preserve">2.1 GW West Dalton combined-cycle facility</w:t>
      </w:r>
      <w:r>
        <w:t xml:space="preserve">.</w:t>
      </w:r>
    </w:p>
    <w:p>
      <w:pPr>
        <w:pStyle w:val="FirstParagraph"/>
      </w:pPr>
      <w:r>
        <w:t xml:space="preserve">In 2Q, schedule discipline, turbine delivery, construction costs, permitting, and any updated view on the planned resource mix are more important than near-term power-market noise. Management has also indicated that its updated Missouri integrated resource plan is due in late September, making this call an important staging point for that larger strategic update.</w:t>
      </w:r>
    </w:p>
    <w:bookmarkEnd w:id="14"/>
    <w:bookmarkEnd w:id="15"/>
    <w:bookmarkStart w:id="16" w:name="quarterly-scorecard"/>
    <w:p>
      <w:pPr>
        <w:pStyle w:val="Heading2"/>
      </w:pPr>
      <w:r>
        <w:t xml:space="preserve">Quarterly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What to watch</w:t>
            </w:r>
          </w:p>
        </w:tc>
        <w:tc>
          <w:tcPr/>
          <w:p>
            <w:pPr>
              <w:pStyle w:val="Compact"/>
            </w:pPr>
            <w:r>
              <w:t xml:space="preserve">Why it matters</w:t>
            </w:r>
          </w:p>
        </w:tc>
      </w:tr>
      <w:tr>
        <w:tc>
          <w:tcPr/>
          <w:p>
            <w:pPr>
              <w:pStyle w:val="Compact"/>
            </w:pPr>
            <w:r>
              <w:rPr>
                <w:b/>
                <w:bCs/>
              </w:rPr>
              <w:t xml:space="preserve">EPS and 2026 guidance</w:t>
            </w:r>
          </w:p>
        </w:tc>
        <w:tc>
          <w:tcPr/>
          <w:p>
            <w:pPr>
              <w:pStyle w:val="Compact"/>
            </w:pPr>
            <w:r>
              <w:t xml:space="preserve">Reaffirmation of</w:t>
            </w:r>
            <w:r>
              <w:t xml:space="preserve"> </w:t>
            </w:r>
            <m:oMath>
              <m:r>
                <m:t>5.25</m:t>
              </m:r>
              <m:r>
                <m:rPr>
                  <m:sty m:val="p"/>
                </m:rPr>
                <m:t>–</m:t>
              </m:r>
            </m:oMath>
            <w:r>
              <w:t xml:space="preserve">5.45; explanation of weather, O&amp;M, and interest expense</w:t>
            </w:r>
          </w:p>
        </w:tc>
        <w:tc>
          <w:tcPr/>
          <w:p>
            <w:pPr>
              <w:pStyle w:val="Compact"/>
            </w:pPr>
            <w:r>
              <w:t xml:space="preserve">Establishes whether 1Q strength remains on track</w:t>
            </w:r>
          </w:p>
        </w:tc>
      </w:tr>
      <w:tr>
        <w:tc>
          <w:tcPr/>
          <w:p>
            <w:pPr>
              <w:pStyle w:val="Compact"/>
            </w:pPr>
            <w:r>
              <w:rPr>
                <w:b/>
                <w:bCs/>
              </w:rPr>
              <w:t xml:space="preserve">Missouri utility earnings</w:t>
            </w:r>
          </w:p>
        </w:tc>
        <w:tc>
          <w:tcPr/>
          <w:p>
            <w:pPr>
              <w:pStyle w:val="Compact"/>
            </w:pPr>
            <w:r>
              <w:t xml:space="preserve">Rate-base growth versus sales and weather effects</w:t>
            </w:r>
          </w:p>
        </w:tc>
        <w:tc>
          <w:tcPr/>
          <w:p>
            <w:pPr>
              <w:pStyle w:val="Compact"/>
            </w:pPr>
            <w:r>
              <w:t xml:space="preserve">Largest near-term operating earnings contributor</w:t>
            </w:r>
          </w:p>
        </w:tc>
      </w:tr>
      <w:tr>
        <w:tc>
          <w:tcPr/>
          <w:p>
            <w:pPr>
              <w:pStyle w:val="Compact"/>
            </w:pPr>
            <w:r>
              <w:rPr>
                <w:b/>
                <w:bCs/>
              </w:rPr>
              <w:t xml:space="preserve">Transmission</w:t>
            </w:r>
          </w:p>
        </w:tc>
        <w:tc>
          <w:tcPr/>
          <w:p>
            <w:pPr>
              <w:pStyle w:val="Compact"/>
            </w:pPr>
            <w:r>
              <w:t xml:space="preserve">Investment growth and MISO competitive-project commentary</w:t>
            </w:r>
          </w:p>
        </w:tc>
        <w:tc>
          <w:tcPr/>
          <w:p>
            <w:pPr>
              <w:pStyle w:val="Compact"/>
            </w:pPr>
            <w:r>
              <w:t xml:space="preserve">High-quality regulated growth with potential load-driven upside</w:t>
            </w:r>
          </w:p>
        </w:tc>
      </w:tr>
      <w:tr>
        <w:tc>
          <w:tcPr/>
          <w:p>
            <w:pPr>
              <w:pStyle w:val="Compact"/>
            </w:pPr>
            <w:r>
              <w:rPr>
                <w:b/>
                <w:bCs/>
              </w:rPr>
              <w:t xml:space="preserve">Data centers / ESAs</w:t>
            </w:r>
          </w:p>
        </w:tc>
        <w:tc>
          <w:tcPr/>
          <w:p>
            <w:pPr>
              <w:pStyle w:val="Compact"/>
            </w:pPr>
            <w:r>
              <w:t xml:space="preserve">Groundbreakings, ESA conversions, ramp timing, customer commitments</w:t>
            </w:r>
          </w:p>
        </w:tc>
        <w:tc>
          <w:tcPr/>
          <w:p>
            <w:pPr>
              <w:pStyle w:val="Compact"/>
            </w:pPr>
            <w:r>
              <w:t xml:space="preserve">Principal source of upside to current five-year assumptions</w:t>
            </w:r>
          </w:p>
        </w:tc>
      </w:tr>
      <w:tr>
        <w:tc>
          <w:tcPr/>
          <w:p>
            <w:pPr>
              <w:pStyle w:val="Compact"/>
            </w:pPr>
            <w:r>
              <w:rPr>
                <w:b/>
                <w:bCs/>
              </w:rPr>
              <w:t xml:space="preserve">Generation build</w:t>
            </w:r>
          </w:p>
        </w:tc>
        <w:tc>
          <w:tcPr/>
          <w:p>
            <w:pPr>
              <w:pStyle w:val="Compact"/>
            </w:pPr>
            <w:r>
              <w:t xml:space="preserve">Castle Bluff, Big Hollow, Split Rail, West Dalton and battery-storage progress</w:t>
            </w:r>
          </w:p>
        </w:tc>
        <w:tc>
          <w:tcPr/>
          <w:p>
            <w:pPr>
              <w:pStyle w:val="Compact"/>
            </w:pPr>
            <w:r>
              <w:t xml:space="preserve">Critical to serving future demand reliably</w:t>
            </w:r>
          </w:p>
        </w:tc>
      </w:tr>
      <w:tr>
        <w:tc>
          <w:tcPr/>
          <w:p>
            <w:pPr>
              <w:pStyle w:val="Compact"/>
            </w:pPr>
            <w:r>
              <w:rPr>
                <w:b/>
                <w:bCs/>
              </w:rPr>
              <w:t xml:space="preserve">Capex and financing</w:t>
            </w:r>
          </w:p>
        </w:tc>
        <w:tc>
          <w:tcPr/>
          <w:p>
            <w:pPr>
              <w:pStyle w:val="Compact"/>
            </w:pPr>
            <w:r>
              <w:t xml:space="preserve">Spend pace, debt/equity funding, credit metrics, share-count outlook</w:t>
            </w:r>
          </w:p>
        </w:tc>
        <w:tc>
          <w:tcPr/>
          <w:p>
            <w:pPr>
              <w:pStyle w:val="Compact"/>
            </w:pPr>
            <w:r>
              <w:t xml:space="preserve">Determines the per-share conversion of rate-base growth</w:t>
            </w:r>
          </w:p>
        </w:tc>
      </w:tr>
      <w:tr>
        <w:tc>
          <w:tcPr/>
          <w:p>
            <w:pPr>
              <w:pStyle w:val="Compact"/>
            </w:pPr>
            <w:r>
              <w:rPr>
                <w:b/>
                <w:bCs/>
              </w:rPr>
              <w:t xml:space="preserve">Regulatory</w:t>
            </w:r>
          </w:p>
        </w:tc>
        <w:tc>
          <w:tcPr/>
          <w:p>
            <w:pPr>
              <w:pStyle w:val="Compact"/>
            </w:pPr>
            <w:r>
              <w:t xml:space="preserve">Missouri rate-case framing; Illinois reconciliation and rate-plan updates</w:t>
            </w:r>
          </w:p>
        </w:tc>
        <w:tc>
          <w:tcPr/>
          <w:p>
            <w:pPr>
              <w:pStyle w:val="Compact"/>
            </w:pPr>
            <w:r>
              <w:t xml:space="preserve">Defines future allowed returns and recovery timing</w:t>
            </w:r>
          </w:p>
        </w:tc>
      </w:tr>
    </w:tbl>
    <w:bookmarkEnd w:id="16"/>
    <w:bookmarkStart w:id="17" w:name="catalysts"/>
    <w:p>
      <w:pPr>
        <w:pStyle w:val="Heading2"/>
      </w:pPr>
      <w:r>
        <w:t xml:space="preserve">Catalysts</w:t>
      </w:r>
    </w:p>
    <w:p>
      <w:pPr>
        <w:pStyle w:val="Compact"/>
        <w:numPr>
          <w:ilvl w:val="0"/>
          <w:numId w:val="1004"/>
        </w:numPr>
      </w:pPr>
      <w:r>
        <w:t xml:space="preserve">Confirmed groundbreaking or construction progress at signed large-load customer sites.</w:t>
      </w:r>
    </w:p>
    <w:p>
      <w:pPr>
        <w:pStyle w:val="Compact"/>
        <w:numPr>
          <w:ilvl w:val="0"/>
          <w:numId w:val="1004"/>
        </w:numPr>
      </w:pPr>
      <w:r>
        <w:t xml:space="preserve">Incremental ESA conversions from the remaining 1.2 GW of Missouri construction agreements.</w:t>
      </w:r>
    </w:p>
    <w:p>
      <w:pPr>
        <w:pStyle w:val="Compact"/>
        <w:numPr>
          <w:ilvl w:val="0"/>
          <w:numId w:val="1004"/>
        </w:numPr>
      </w:pPr>
      <w:r>
        <w:t xml:space="preserve">Stronger-than-expected load-ramp visibility that leads to higher sales, capital, or rate-base expectations.</w:t>
      </w:r>
    </w:p>
    <w:p>
      <w:pPr>
        <w:pStyle w:val="Compact"/>
        <w:numPr>
          <w:ilvl w:val="0"/>
          <w:numId w:val="1004"/>
        </w:numPr>
      </w:pPr>
      <w:r>
        <w:t xml:space="preserve">Solid execution on gas, renewable, storage, and transmission projects.</w:t>
      </w:r>
    </w:p>
    <w:p>
      <w:pPr>
        <w:pStyle w:val="Compact"/>
        <w:numPr>
          <w:ilvl w:val="0"/>
          <w:numId w:val="1004"/>
        </w:numPr>
      </w:pPr>
      <w:r>
        <w:t xml:space="preserve">Continued confidence in 2026 guidance despite higher tree-trimming, reliability, and financing costs.</w:t>
      </w:r>
    </w:p>
    <w:bookmarkEnd w:id="17"/>
    <w:bookmarkStart w:id="18" w:name="risks"/>
    <w:p>
      <w:pPr>
        <w:pStyle w:val="Heading2"/>
      </w:pPr>
      <w:r>
        <w:t xml:space="preserve">Risks</w:t>
      </w:r>
    </w:p>
    <w:p>
      <w:pPr>
        <w:pStyle w:val="Compact"/>
        <w:numPr>
          <w:ilvl w:val="0"/>
          <w:numId w:val="1005"/>
        </w:numPr>
      </w:pPr>
      <w:r>
        <w:t xml:space="preserve">Large-load customers may delay construction or take power later than anticipated.</w:t>
      </w:r>
    </w:p>
    <w:p>
      <w:pPr>
        <w:pStyle w:val="Compact"/>
        <w:numPr>
          <w:ilvl w:val="0"/>
          <w:numId w:val="1005"/>
        </w:numPr>
      </w:pPr>
      <w:r>
        <w:t xml:space="preserve">Regulatory outcomes may reduce requested returns, rate recovery, or tracker mechanisms.</w:t>
      </w:r>
    </w:p>
    <w:p>
      <w:pPr>
        <w:pStyle w:val="Compact"/>
        <w:numPr>
          <w:ilvl w:val="0"/>
          <w:numId w:val="1005"/>
        </w:numPr>
      </w:pPr>
      <w:r>
        <w:t xml:space="preserve">Higher interest expense and incremental equity issuance can dilute per-share benefits from investment.</w:t>
      </w:r>
    </w:p>
    <w:p>
      <w:pPr>
        <w:pStyle w:val="Compact"/>
        <w:numPr>
          <w:ilvl w:val="0"/>
          <w:numId w:val="1005"/>
        </w:numPr>
      </w:pPr>
      <w:r>
        <w:t xml:space="preserve">Construction costs, labor, equipment availability, or permitting can pressure project schedules.</w:t>
      </w:r>
    </w:p>
    <w:p>
      <w:pPr>
        <w:pStyle w:val="Compact"/>
        <w:numPr>
          <w:ilvl w:val="0"/>
          <w:numId w:val="1005"/>
        </w:numPr>
      </w:pPr>
      <w:r>
        <w:t xml:space="preserve">Weather variability remains important to quarterly retail-sales and earnings comparisons.</w:t>
      </w:r>
    </w:p>
    <w:p>
      <w:pPr>
        <w:pStyle w:val="Compact"/>
        <w:numPr>
          <w:ilvl w:val="0"/>
          <w:numId w:val="1005"/>
        </w:numPr>
      </w:pPr>
      <w:r>
        <w:t xml:space="preserve">Callaway nuclear operations, fuel availability, and broader generation reliability remain operational swing factors.</w:t>
      </w:r>
    </w:p>
    <w:bookmarkEnd w:id="18"/>
    <w:bookmarkStart w:id="20" w:name="bottom-line"/>
    <w:p>
      <w:pPr>
        <w:pStyle w:val="Heading2"/>
      </w:pPr>
      <w:r>
        <w:t xml:space="preserve">Bottom line</w:t>
      </w:r>
    </w:p>
    <w:p>
      <w:pPr>
        <w:pStyle w:val="FirstParagraph"/>
      </w:pPr>
      <w:r>
        <w:rPr>
          <w:b/>
          <w:bCs/>
        </w:rPr>
        <w:t xml:space="preserve">AEE’s 2Q report is a validation event for a premium growth-utility narrative.</w:t>
      </w:r>
      <w:r>
        <w:t xml:space="preserve"> </w:t>
      </w:r>
      <w:r>
        <w:t xml:space="preserve">The base case is a reaffirmation of 2026 guidance supported by ongoing rate-base growth. But the market is likely to place greater weight on evidence that Ameren’s large-load opportunity is becoming real: construction starts, additional ESAs, firmer ramp schedules, and a credible capital-and-generation response.</w:t>
      </w:r>
    </w:p>
    <w:p>
      <w:pPr>
        <w:pStyle w:val="BodyText"/>
      </w:pPr>
      <w:r>
        <w:t xml:space="preserve">A routine earnings beat without progress on those items may be insufficient after the stock’s year-to-date appreciation. Conversely, concrete customer and project milestones could strengthen the case that Ameren’s currently conservative load-growth assumptions understate its medium-term investment and earnings potential.</w:t>
      </w:r>
    </w:p>
    <w:bookmarkStart w:id="19" w:name="key-source-documents-reviewed"/>
    <w:p>
      <w:pPr>
        <w:pStyle w:val="Heading3"/>
      </w:pPr>
      <w:r>
        <w:t xml:space="preserve">Key source documents reviewed</w:t>
      </w:r>
    </w:p>
    <w:p>
      <w:pPr>
        <w:pStyle w:val="Compact"/>
        <w:numPr>
          <w:ilvl w:val="0"/>
          <w:numId w:val="1006"/>
        </w:numPr>
      </w:pPr>
      <w:r>
        <w:t xml:space="preserve">Ameren 1Q26 earnings release and May 6, 2026 earnings-call transcript</w:t>
      </w:r>
    </w:p>
    <w:p>
      <w:pPr>
        <w:pStyle w:val="Compact"/>
        <w:numPr>
          <w:ilvl w:val="0"/>
          <w:numId w:val="1006"/>
        </w:numPr>
      </w:pPr>
      <w:r>
        <w:t xml:space="preserve">Ameren’s July 9, 2026 2Q earnings-webcast announcement</w:t>
      </w:r>
    </w:p>
    <w:p>
      <w:pPr>
        <w:pStyle w:val="Compact"/>
        <w:numPr>
          <w:ilvl w:val="0"/>
          <w:numId w:val="1006"/>
        </w:numPr>
      </w:pPr>
      <w:r>
        <w:t xml:space="preserve">Ameren Missouri’s June 26, 2026 electric-rate-case filing</w:t>
      </w:r>
    </w:p>
    <w:p>
      <w:pPr>
        <w:pStyle w:val="Compact"/>
        <w:numPr>
          <w:ilvl w:val="0"/>
          <w:numId w:val="1006"/>
        </w:numPr>
      </w:pPr>
      <w:r>
        <w:t xml:space="preserve">Ameren 2Q25 earnings release and financial statements</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2026-07-29T19:38:47Z</dcterms:created>
  <dcterms:modified xsi:type="dcterms:W3CDTF">2026-07-29T19:38:47Z</dcterms:modified>
</cp:coreProperties>
</file>

<file path=docProps/custom.xml><?xml version="1.0" encoding="utf-8"?>
<Properties xmlns="http://schemas.openxmlformats.org/officeDocument/2006/custom-properties" xmlns:vt="http://schemas.openxmlformats.org/officeDocument/2006/docPropsVTypes"/>
</file>