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Ameren Corporation (AEE) — Q2 2026 Earnings Preview</w:t>
      </w:r>
    </w:p>
    <w:p>
      <w:r>
        <w:rPr>
          <w:rFonts w:ascii="Calibri" w:hAnsi="Calibri"/>
          <w:b/>
          <w:color w:val="525866"/>
          <w:sz w:val="22"/>
        </w:rPr>
        <w:t xml:space="preserve">Reporting Date: </w:t>
      </w:r>
      <w:r>
        <w:rPr>
          <w:rFonts w:ascii="Calibri" w:hAnsi="Calibri"/>
          <w:color w:val="525866"/>
          <w:sz w:val="22"/>
        </w:rPr>
        <w:t xml:space="preserve">July 31, 2026   </w:t>
      </w:r>
      <w:r>
        <w:rPr>
          <w:rFonts w:ascii="Calibri" w:hAnsi="Calibri"/>
          <w:b/>
          <w:color w:val="525866"/>
          <w:sz w:val="22"/>
        </w:rPr>
        <w:t xml:space="preserve">Prepared: </w:t>
      </w:r>
      <w:r>
        <w:rPr>
          <w:rFonts w:ascii="Calibri" w:hAnsi="Calibri"/>
          <w:color w:val="525866"/>
          <w:sz w:val="22"/>
        </w:rPr>
        <w:t xml:space="preserve">July 29, 2026   </w:t>
      </w:r>
      <w:r>
        <w:rPr>
          <w:rFonts w:ascii="Calibri" w:hAnsi="Calibri"/>
          <w:b/>
          <w:color w:val="525866"/>
          <w:sz w:val="22"/>
        </w:rPr>
        <w:t xml:space="preserve">Sector: </w:t>
      </w:r>
      <w:r>
        <w:rPr>
          <w:rFonts w:ascii="Calibri" w:hAnsi="Calibri"/>
          <w:color w:val="525866"/>
          <w:sz w:val="22"/>
        </w:rPr>
        <w:t xml:space="preserve">Utilities — Regulated Electric   </w:t>
      </w:r>
      <w:r>
        <w:rPr>
          <w:rFonts w:ascii="Calibri" w:hAnsi="Calibri"/>
          <w:b/>
          <w:color w:val="525866"/>
          <w:sz w:val="22"/>
        </w:rPr>
        <w:t xml:space="preserve">Sector ETF: </w:t>
      </w:r>
      <w:r>
        <w:rPr>
          <w:rFonts w:ascii="Calibri" w:hAnsi="Calibri"/>
          <w:color w:val="525866"/>
          <w:sz w:val="22"/>
        </w:rPr>
        <w:t>XLU</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modestly constructive — consensus EPS of $1.08 is a low bar given AEE's Q1 beat and reaffirmed full-year guidance, but the biggest swing factor is whether management can confirm ESA groundbreakings occurred in Q2 and provide an update on converting the remaining 1.2 GW construction agreements to additional ESAs.</w:t>
      </w:r>
    </w:p>
    <w:p>
      <w:r>
        <w:rPr>
          <w:rFonts w:ascii="Calibri" w:hAnsi="Calibri"/>
          <w:color w:val="525866"/>
          <w:sz w:val="22"/>
        </w:rPr>
        <w:t xml:space="preserve">Heading into Q2 2026, Ameren's setup is one of a company executing well against a credible growth plan, with the bar set conservatively. </w:t>
      </w:r>
      <w:r>
        <w:rPr>
          <w:rFonts w:ascii="Calibri" w:hAnsi="Calibri"/>
          <w:color w:val="525866"/>
          <w:sz w:val="22"/>
        </w:rPr>
        <w:t>Consensus EPS of ~$1.08 sits below the prior-year Q2 actual of $1.01 on an adjusted basis, and management reaffirmed the full-year $5.25–$5.45 range at Q1 — leaving meaningful room for the company to deliver in-line or better results even with the weather headwind from a warmer-than-normal Q2 in Missouri.</w:t>
      </w:r>
      <w:r>
        <w:rPr>
          <w:rFonts w:ascii="Calibri" w:hAnsi="Calibri"/>
          <w:color w:val="525866"/>
          <w:sz w:val="22"/>
        </w:rPr>
        <w:t xml:space="preserve"> Guidance tone has been consistently confident: management flagged higher tree-trimming costs in Q2 specifically, which is already in the street's model, and the S&amp;P BBB+ affirmation in April removed a near-term credit overhang.</w:t>
      </w:r>
      <w:r>
        <w:rPr>
          <w:rFonts w:ascii="Calibri" w:hAnsi="Calibri"/>
          <w:color w:val="525866"/>
          <w:sz w:val="22"/>
        </w:rPr>
        <w:t xml:space="preserve"> Estimate revisions have been stable-to-slightly-positive since the Q1 print, with full-year 2026 EPS consensus at $5.38 essentially in line with the guidance midpoint of $5.35, suggesting the street is not pricing in meaningful upside or downside.</w:t>
      </w:r>
      <w:r>
        <w:rPr>
          <w:rFonts w:ascii="Calibri" w:hAnsi="Calibri"/>
          <w:color w:val="525866"/>
          <w:sz w:val="22"/>
        </w:rPr>
        <w:t xml:space="preserve"> The stock has outperformed XLU by ~165 bps since Q1 earnings (AEE −1.5% vs. XLU −3.2%), with a notable spike in late June on the Missouri rate case filing — suggesting the market is beginning to price in the regulatory catalyst cycle.</w:t>
      </w:r>
      <w:r>
        <w:rPr>
          <w:rFonts w:ascii="Calibri" w:hAnsi="Calibri"/>
          <w:color w:val="525866"/>
          <w:sz w:val="22"/>
        </w:rPr>
        <w:t xml:space="preserve"> The key wildcard is the data center ESA update: any confirmation of additional ESA conversions from the 1.2 GW construction agreement pool, or color on the September IRP update, could be the catalyst that re-rates the stock toward the upper end of its premium multiple.</w:t>
      </w:r>
    </w:p>
    <w:p>
      <w:r>
        <w:rPr>
          <w:rFonts w:ascii="Calibri" w:hAnsi="Calibri"/>
          <w:b/>
          <w:color w:val="525866"/>
          <w:sz w:val="22"/>
        </w:rPr>
        <w:t xml:space="preserve">Bar: </w:t>
      </w:r>
      <w:r>
        <w:rPr>
          <w:rFonts w:ascii="Calibri" w:hAnsi="Calibri"/>
          <w:color w:val="525866"/>
          <w:sz w:val="22"/>
        </w:rPr>
        <w:t>Low-to-fair. Consensus EPS of ~$1.08 is achievable given the reaffirmed full-year range and Q1 beat momentum, even with the flagged Q2 tree-trimming cost headwind.</w:t>
      </w:r>
    </w:p>
    <w:p>
      <w:r>
        <w:rPr>
          <w:rFonts w:ascii="Calibri" w:hAnsi="Calibri"/>
          <w:b/>
          <w:color w:val="525866"/>
          <w:sz w:val="22"/>
        </w:rPr>
        <w:t xml:space="preserve">Guidance/Tone: </w:t>
      </w:r>
      <w:r>
        <w:rPr>
          <w:rFonts w:ascii="Calibri" w:hAnsi="Calibri"/>
          <w:color w:val="525866"/>
          <w:sz w:val="22"/>
        </w:rPr>
        <w:t>Unchanged and confident. Management reaffirmed $5.25–$5.45 at Q1 and highlighted disciplined cost management. No post-earnings guidance revision events since May 5.</w:t>
      </w:r>
    </w:p>
    <w:p>
      <w:r>
        <w:rPr>
          <w:rFonts w:ascii="Calibri" w:hAnsi="Calibri"/>
          <w:b/>
          <w:color w:val="525866"/>
          <w:sz w:val="22"/>
        </w:rPr>
        <w:t xml:space="preserve">Estimate Trajectory: </w:t>
      </w:r>
      <w:r>
        <w:rPr>
          <w:rFonts w:ascii="Calibri" w:hAnsi="Calibri"/>
          <w:color w:val="525866"/>
          <w:sz w:val="22"/>
        </w:rPr>
        <w:t>Stable. Full-year 2026 EPS consensus of $5.38 is essentially at the guidance midpoint. Q2 estimates have been flat since the Q1 print, consistent with management’s pre-flagged Q2 cost headwinds.</w:t>
      </w:r>
    </w:p>
    <w:p>
      <w:r>
        <w:rPr>
          <w:rFonts w:ascii="Calibri" w:hAnsi="Calibri"/>
          <w:b/>
          <w:color w:val="525866"/>
          <w:sz w:val="22"/>
        </w:rPr>
        <w:t xml:space="preserve">Stock Setup: </w:t>
      </w:r>
      <w:r>
        <w:rPr>
          <w:rFonts w:ascii="Calibri" w:hAnsi="Calibri"/>
          <w:color w:val="525866"/>
          <w:sz w:val="22"/>
        </w:rPr>
        <w:t>Neutral-to-slightly-positive. AEE has outperformed XLU modestly since Q1 earnings, with the late-June rate case filing acting as a positive catalyst. The stock trades at a premium forward P/E to the utility sector, reflecting the data center growth premium, but not yet pricing in full ESA conversion upside.</w:t>
      </w:r>
    </w:p>
    <w:p>
      <w:r>
        <w:rPr>
          <w:rFonts w:ascii="Calibri" w:hAnsi="Calibri"/>
          <w:b/>
          <w:color w:val="525866"/>
          <w:sz w:val="22"/>
        </w:rPr>
        <w:t xml:space="preserve">Wildcard: </w:t>
      </w:r>
      <w:r>
        <w:rPr>
          <w:rFonts w:ascii="Calibri" w:hAnsi="Calibri"/>
          <w:color w:val="525866"/>
          <w:sz w:val="22"/>
        </w:rPr>
        <w:t>Data center ESA update. Any announcement of additional ESA conversions from the 1.2 GW construction agreement pool, or early color on the September 2026 IRP update (which could revise sales forecasts and capital plans upward), is the single biggest potential positive surprise. On the downside, any delay in ESA groundbreakings or adverse Missouri PSC commentary on the $343M rate case could weigh.</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manageable bar on EPS (~$1.08 vs. $1.01 prior year), while revenue consensus of ~$2.35B is above the prior-year $2.22B — the bigger swing factor is operating EPS, where AEE has a track record of beating. Weather normalization and cost discipline are the key variables.</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Operating EPS (Diluted)</w:t>
            </w:r>
          </w:p>
        </w:tc>
        <w:tc>
          <w:tcPr>
            <w:tcW w:type="dxa" w:w="1234"/>
          </w:tcPr>
          <w:p>
            <w:r>
              <w:rPr>
                <w:rFonts w:ascii="Calibri" w:hAnsi="Calibri"/>
                <w:sz w:val="22"/>
              </w:rPr>
              <w:t>$1.28</w:t>
            </w:r>
          </w:p>
        </w:tc>
        <w:tc>
          <w:tcPr>
            <w:tcW w:type="dxa" w:w="1234"/>
          </w:tcPr>
          <w:p>
            <w:r>
              <w:rPr>
                <w:rFonts w:ascii="Calibri" w:hAnsi="Calibri"/>
                <w:sz w:val="22"/>
              </w:rPr>
              <w:t>$1.01</w:t>
            </w:r>
          </w:p>
        </w:tc>
        <w:tc>
          <w:tcPr>
            <w:tcW w:type="dxa" w:w="1234"/>
          </w:tcPr>
          <w:p>
            <w:r>
              <w:rPr>
                <w:rFonts w:ascii="Calibri" w:hAnsi="Calibri"/>
                <w:sz w:val="22"/>
              </w:rPr>
              <w:t>$1.08</w:t>
            </w:r>
          </w:p>
        </w:tc>
        <w:tc>
          <w:tcPr>
            <w:tcW w:type="dxa" w:w="1234"/>
          </w:tcPr>
          <w:p>
            <w:r>
              <w:rPr>
                <w:rFonts w:ascii="Calibri" w:hAnsi="Calibri"/>
                <w:sz w:val="22"/>
              </w:rPr>
              <w:t>+6.9% YoY</w:t>
            </w:r>
          </w:p>
        </w:tc>
        <w:tc>
          <w:tcPr>
            <w:tcW w:type="dxa" w:w="1234"/>
          </w:tcPr>
          <w:p>
            <w:r>
              <w:rPr>
                <w:rFonts w:ascii="Calibri" w:hAnsi="Calibri"/>
                <w:sz w:val="22"/>
              </w:rPr>
              <w:t>FY 2026: $5.25–$5.45 (no Q2-specific guidance)</w:t>
            </w:r>
          </w:p>
        </w:tc>
        <w:tc>
          <w:tcPr>
            <w:tcW w:type="dxa" w:w="1234"/>
          </w:tcPr>
          <w:p>
            <w:r>
              <w:rPr>
                <w:rFonts w:ascii="Calibri" w:hAnsi="Calibri"/>
                <w:sz w:val="22"/>
              </w:rPr>
              <w:t>N/A (no Q2 guidance)</w:t>
            </w:r>
          </w:p>
        </w:tc>
      </w:tr>
      <w:tr>
        <w:tc>
          <w:tcPr>
            <w:tcW w:type="dxa" w:w="1234"/>
          </w:tcPr>
          <w:p>
            <w:r>
              <w:rPr>
                <w:rFonts w:ascii="Calibri" w:hAnsi="Calibri"/>
                <w:sz w:val="22"/>
              </w:rPr>
              <w:t>Total Operating Revenues</w:t>
            </w:r>
          </w:p>
        </w:tc>
        <w:tc>
          <w:tcPr>
            <w:tcW w:type="dxa" w:w="1234"/>
          </w:tcPr>
          <w:p>
            <w:r>
              <w:rPr>
                <w:rFonts w:ascii="Calibri" w:hAnsi="Calibri"/>
                <w:sz w:val="22"/>
              </w:rPr>
              <w:t>$2,176M</w:t>
            </w:r>
          </w:p>
        </w:tc>
        <w:tc>
          <w:tcPr>
            <w:tcW w:type="dxa" w:w="1234"/>
          </w:tcPr>
          <w:p>
            <w:r>
              <w:rPr>
                <w:rFonts w:ascii="Calibri" w:hAnsi="Calibri"/>
                <w:sz w:val="22"/>
              </w:rPr>
              <w:t>$2,221M</w:t>
            </w:r>
          </w:p>
        </w:tc>
        <w:tc>
          <w:tcPr>
            <w:tcW w:type="dxa" w:w="1234"/>
          </w:tcPr>
          <w:p>
            <w:r>
              <w:rPr>
                <w:rFonts w:ascii="Calibri" w:hAnsi="Calibri"/>
                <w:sz w:val="22"/>
              </w:rPr>
              <w:t>$2,346M</w:t>
            </w:r>
          </w:p>
        </w:tc>
        <w:tc>
          <w:tcPr>
            <w:tcW w:type="dxa" w:w="1234"/>
          </w:tcPr>
          <w:p>
            <w:r>
              <w:rPr>
                <w:rFonts w:ascii="Calibri" w:hAnsi="Calibri"/>
                <w:sz w:val="22"/>
              </w:rPr>
              <w:t>+5.6% YoY</w:t>
            </w:r>
          </w:p>
        </w:tc>
        <w:tc>
          <w:tcPr>
            <w:tcW w:type="dxa" w:w="1234"/>
          </w:tcPr>
          <w:p>
            <w:r>
              <w:rPr>
                <w:rFonts w:ascii="Calibri" w:hAnsi="Calibri"/>
                <w:sz w:val="22"/>
              </w:rPr>
              <w:t>No quarterly revenue guidance provided</w:t>
            </w:r>
          </w:p>
        </w:tc>
        <w:tc>
          <w:tcPr>
            <w:tcW w:type="dxa" w:w="1234"/>
          </w:tcPr>
          <w:p>
            <w:r>
              <w:rPr>
                <w:rFonts w:ascii="Calibri" w:hAnsi="Calibri"/>
                <w:sz w:val="22"/>
              </w:rPr>
              <w:t>N/A</w:t>
            </w:r>
          </w:p>
        </w:tc>
      </w:tr>
      <w:tr>
        <w:tc>
          <w:tcPr>
            <w:tcW w:type="dxa" w:w="1234"/>
          </w:tcPr>
          <w:p>
            <w:r>
              <w:rPr>
                <w:rFonts w:ascii="Calibri" w:hAnsi="Calibri"/>
                <w:sz w:val="22"/>
              </w:rPr>
              <w:t>Capital Expenditures</w:t>
            </w:r>
          </w:p>
        </w:tc>
        <w:tc>
          <w:tcPr>
            <w:tcW w:type="dxa" w:w="1234"/>
          </w:tcPr>
          <w:p>
            <w:r>
              <w:rPr>
                <w:rFonts w:ascii="Calibri" w:hAnsi="Calibri"/>
                <w:sz w:val="22"/>
              </w:rPr>
              <w:t>$1,574M</w:t>
            </w:r>
          </w:p>
        </w:tc>
        <w:tc>
          <w:tcPr>
            <w:tcW w:type="dxa" w:w="1234"/>
          </w:tcPr>
          <w:p>
            <w:r>
              <w:rPr>
                <w:rFonts w:ascii="Calibri" w:hAnsi="Calibri"/>
                <w:sz w:val="22"/>
              </w:rPr>
              <w:t>$1,066M</w:t>
            </w:r>
          </w:p>
        </w:tc>
        <w:tc>
          <w:tcPr>
            <w:tcW w:type="dxa" w:w="1234"/>
          </w:tcPr>
          <w:p>
            <w:r>
              <w:rPr>
                <w:rFonts w:ascii="Calibri" w:hAnsi="Calibri"/>
                <w:sz w:val="22"/>
              </w:rPr>
              <w:t>$1,381M</w:t>
            </w:r>
          </w:p>
        </w:tc>
        <w:tc>
          <w:tcPr>
            <w:tcW w:type="dxa" w:w="1234"/>
          </w:tcPr>
          <w:p>
            <w:r>
              <w:rPr>
                <w:rFonts w:ascii="Calibri" w:hAnsi="Calibri"/>
                <w:sz w:val="22"/>
              </w:rPr>
              <w:t>+29.5% YoY</w:t>
            </w:r>
          </w:p>
        </w:tc>
        <w:tc>
          <w:tcPr>
            <w:tcW w:type="dxa" w:w="1234"/>
          </w:tcPr>
          <w:p>
            <w:r>
              <w:rPr>
                <w:rFonts w:ascii="Calibri" w:hAnsi="Calibri"/>
                <w:sz w:val="22"/>
              </w:rPr>
              <w:t>~$5.6B FY 2026 (VA consensus)</w:t>
            </w:r>
          </w:p>
        </w:tc>
        <w:tc>
          <w:tcPr>
            <w:tcW w:type="dxa" w:w="1234"/>
          </w:tcPr>
          <w:p>
            <w:r>
              <w:rPr>
                <w:rFonts w:ascii="Calibri" w:hAnsi="Calibri"/>
                <w:sz w:val="22"/>
              </w:rPr>
              <w:t>N/A (no quarterly guidance)</w:t>
            </w:r>
          </w:p>
        </w:tc>
      </w:tr>
      <w:tr>
        <w:tc>
          <w:tcPr>
            <w:tcW w:type="dxa" w:w="1234"/>
          </w:tcPr>
          <w:p>
            <w:r>
              <w:rPr>
                <w:rFonts w:ascii="Calibri" w:hAnsi="Calibri"/>
                <w:sz w:val="22"/>
              </w:rPr>
              <w:t>FFO / Total Debt</w:t>
            </w:r>
          </w:p>
        </w:tc>
        <w:tc>
          <w:tcPr>
            <w:tcW w:type="dxa" w:w="1234"/>
          </w:tcPr>
          <w:p>
            <w:r>
              <w:rPr>
                <w:rFonts w:ascii="Calibri" w:hAnsi="Calibri"/>
                <w:sz w:val="22"/>
              </w:rPr>
              <w:t>9.1% (Q1 2026 actual)</w:t>
            </w:r>
          </w:p>
        </w:tc>
        <w:tc>
          <w:tcPr>
            <w:tcW w:type="dxa" w:w="1234"/>
          </w:tcPr>
          <w:p>
            <w:r>
              <w:rPr>
                <w:rFonts w:ascii="Calibri" w:hAnsi="Calibri"/>
                <w:sz w:val="22"/>
              </w:rPr>
              <w:t>3.6% (Q2 2025 actual; seasonally low)</w:t>
            </w:r>
          </w:p>
        </w:tc>
        <w:tc>
          <w:tcPr>
            <w:tcW w:type="dxa" w:w="1234"/>
          </w:tcPr>
          <w:p>
            <w:r>
              <w:rPr>
                <w:rFonts w:ascii="Calibri" w:hAnsi="Calibri"/>
                <w:sz w:val="22"/>
              </w:rPr>
              <w:t>~9.0% (Q2 2026 consensus)</w:t>
            </w:r>
          </w:p>
        </w:tc>
        <w:tc>
          <w:tcPr>
            <w:tcW w:type="dxa" w:w="1234"/>
          </w:tcPr>
          <w:p>
            <w:r>
              <w:rPr>
                <w:rFonts w:ascii="Calibri" w:hAnsi="Calibri"/>
                <w:sz w:val="22"/>
              </w:rPr>
              <w:t>~+540 bps YoY</w:t>
            </w:r>
          </w:p>
        </w:tc>
        <w:tc>
          <w:tcPr>
            <w:tcW w:type="dxa" w:w="1234"/>
          </w:tcPr>
          <w:p>
            <w:r>
              <w:rPr>
                <w:rFonts w:ascii="Calibri" w:hAnsi="Calibri"/>
                <w:sz w:val="22"/>
              </w:rPr>
              <w:t>FY target: &gt;17% (Moody’s threshold); FY consensus ~15.1%</w:t>
            </w:r>
          </w:p>
        </w:tc>
        <w:tc>
          <w:tcPr>
            <w:tcW w:type="dxa" w:w="1234"/>
          </w:tcPr>
          <w:p>
            <w:r>
              <w:rPr>
                <w:rFonts w:ascii="Calibri" w:hAnsi="Calibri"/>
                <w:sz w:val="22"/>
              </w:rPr>
              <w:t>N/A (no quarterly guidance)</w:t>
            </w:r>
          </w:p>
        </w:tc>
      </w:tr>
      <w:tr>
        <w:tc>
          <w:tcPr>
            <w:tcW w:type="dxa" w:w="1234"/>
          </w:tcPr>
          <w:p>
            <w:r>
              <w:rPr>
                <w:rFonts w:ascii="Calibri" w:hAnsi="Calibri"/>
                <w:sz w:val="22"/>
              </w:rPr>
              <w:t>FY 2026 Operating EPS (Full Year)</w:t>
            </w:r>
          </w:p>
        </w:tc>
        <w:tc>
          <w:tcPr>
            <w:tcW w:type="dxa" w:w="1234"/>
          </w:tcPr>
          <w:p>
            <w:r>
              <w:rPr>
                <w:rFonts w:ascii="Calibri" w:hAnsi="Calibri"/>
                <w:sz w:val="22"/>
              </w:rPr>
              <w:t>N/A (in-year)</w:t>
            </w:r>
          </w:p>
        </w:tc>
        <w:tc>
          <w:tcPr>
            <w:tcW w:type="dxa" w:w="1234"/>
          </w:tcPr>
          <w:p>
            <w:r>
              <w:rPr>
                <w:rFonts w:ascii="Calibri" w:hAnsi="Calibri"/>
                <w:sz w:val="22"/>
              </w:rPr>
              <w:t>$4.96 (FY 2025 actual)</w:t>
            </w:r>
          </w:p>
        </w:tc>
        <w:tc>
          <w:tcPr>
            <w:tcW w:type="dxa" w:w="1234"/>
          </w:tcPr>
          <w:p>
            <w:r>
              <w:rPr>
                <w:rFonts w:ascii="Calibri" w:hAnsi="Calibri"/>
                <w:sz w:val="22"/>
              </w:rPr>
              <w:t>$5.38</w:t>
            </w:r>
          </w:p>
        </w:tc>
        <w:tc>
          <w:tcPr>
            <w:tcW w:type="dxa" w:w="1234"/>
          </w:tcPr>
          <w:p>
            <w:r>
              <w:rPr>
                <w:rFonts w:ascii="Calibri" w:hAnsi="Calibri"/>
                <w:sz w:val="22"/>
              </w:rPr>
              <w:t>+8.5% YoY</w:t>
            </w:r>
          </w:p>
        </w:tc>
        <w:tc>
          <w:tcPr>
            <w:tcW w:type="dxa" w:w="1234"/>
          </w:tcPr>
          <w:p>
            <w:r>
              <w:rPr>
                <w:rFonts w:ascii="Calibri" w:hAnsi="Calibri"/>
                <w:sz w:val="22"/>
              </w:rPr>
              <w:t>$5.25–$5.45 (midpoint $5.35)</w:t>
            </w:r>
          </w:p>
        </w:tc>
        <w:tc>
          <w:tcPr>
            <w:tcW w:type="dxa" w:w="1234"/>
          </w:tcPr>
          <w:p>
            <w:r>
              <w:rPr>
                <w:rFonts w:ascii="Calibri" w:hAnsi="Calibri"/>
                <w:sz w:val="22"/>
              </w:rPr>
              <w:t>+0.6% above midpoint</w:t>
            </w:r>
          </w:p>
        </w:tc>
      </w:tr>
    </w:tbl>
    <w:p>
      <w:r>
        <w:rPr>
          <w:rFonts w:ascii="Calibri" w:hAnsi="Calibri"/>
          <w:i/>
          <w:color w:val="525866"/>
          <w:sz w:val="22"/>
        </w:rPr>
        <w:t>Source: Visible Alpha Consensus and Actuals Data. FY 2025 actual operating EPS derived from sum of quarterly actuals ($1.06 Q1 + $1.01 Q2 + $2.17 Q3 + $0.78 Q4 = $5.02 reported; FY consensus shown as $5.38 for 2026). All quarterly actuals from Visible Alpha.</w:t>
      </w:r>
    </w:p>
    <w:p>
      <w:pPr>
        <w:pStyle w:val="Heading3"/>
      </w:pPr>
      <w:r>
        <w:rPr>
          <w:rFonts w:ascii="Calibri" w:hAnsi="Calibri"/>
          <w:b/>
          <w:color w:val="3B4259"/>
          <w:sz w:val="24"/>
        </w:rPr>
        <w:t>Table 2 — Beat/Miss History (Last 8 Quarters, Top 2 KPIs: Operating EPS &amp; Total Operating Revenues)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Operating EPS</w:t>
            </w:r>
          </w:p>
        </w:tc>
        <w:tc>
          <w:tcPr>
            <w:tcW w:type="dxa" w:w="1440"/>
          </w:tcPr>
          <w:p>
            <w:r>
              <w:rPr>
                <w:rFonts w:ascii="Calibri" w:hAnsi="Calibri"/>
                <w:sz w:val="22"/>
              </w:rPr>
              <w:t>$1.28</w:t>
            </w:r>
          </w:p>
        </w:tc>
        <w:tc>
          <w:tcPr>
            <w:tcW w:type="dxa" w:w="1440"/>
          </w:tcPr>
          <w:p>
            <w:r>
              <w:rPr>
                <w:rFonts w:ascii="Calibri" w:hAnsi="Calibri"/>
                <w:sz w:val="22"/>
              </w:rPr>
              <w:t>$1.18</w:t>
            </w:r>
          </w:p>
        </w:tc>
        <w:tc>
          <w:tcPr>
            <w:tcW w:type="dxa" w:w="1440"/>
          </w:tcPr>
          <w:p>
            <w:r>
              <w:rPr>
                <w:rFonts w:ascii="Calibri" w:hAnsi="Calibri"/>
                <w:b/>
                <w:color w:val="30A46C"/>
                <w:sz w:val="22"/>
              </w:rPr>
              <w:t>+8.5%</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Total Revenues</w:t>
            </w:r>
          </w:p>
        </w:tc>
        <w:tc>
          <w:tcPr>
            <w:tcW w:type="dxa" w:w="1440"/>
          </w:tcPr>
          <w:p>
            <w:r>
              <w:rPr>
                <w:rFonts w:ascii="Calibri" w:hAnsi="Calibri"/>
                <w:sz w:val="22"/>
              </w:rPr>
              <w:t>$2,176M</w:t>
            </w:r>
          </w:p>
        </w:tc>
        <w:tc>
          <w:tcPr>
            <w:tcW w:type="dxa" w:w="1440"/>
          </w:tcPr>
          <w:p>
            <w:r>
              <w:rPr>
                <w:rFonts w:ascii="Calibri" w:hAnsi="Calibri"/>
                <w:sz w:val="22"/>
              </w:rPr>
              <w:t>$2,273M</w:t>
            </w:r>
          </w:p>
        </w:tc>
        <w:tc>
          <w:tcPr>
            <w:tcW w:type="dxa" w:w="1440"/>
          </w:tcPr>
          <w:p>
            <w:r>
              <w:rPr>
                <w:rFonts w:ascii="Calibri" w:hAnsi="Calibri"/>
                <w:b/>
                <w:color w:val="E5484D"/>
                <w:sz w:val="22"/>
              </w:rPr>
              <w:t>−4.3%</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Operating EPS</w:t>
            </w:r>
          </w:p>
        </w:tc>
        <w:tc>
          <w:tcPr>
            <w:tcW w:type="dxa" w:w="1440"/>
          </w:tcPr>
          <w:p>
            <w:r>
              <w:rPr>
                <w:rFonts w:ascii="Calibri" w:hAnsi="Calibri"/>
                <w:sz w:val="22"/>
              </w:rPr>
              <w:t>$0.78</w:t>
            </w:r>
          </w:p>
        </w:tc>
        <w:tc>
          <w:tcPr>
            <w:tcW w:type="dxa" w:w="1440"/>
          </w:tcPr>
          <w:p>
            <w:r>
              <w:rPr>
                <w:rFonts w:ascii="Calibri" w:hAnsi="Calibri"/>
                <w:sz w:val="22"/>
              </w:rPr>
              <w:t>$0.78</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Q4 2025</w:t>
            </w:r>
          </w:p>
        </w:tc>
        <w:tc>
          <w:tcPr>
            <w:tcW w:type="dxa" w:w="1440"/>
          </w:tcPr>
          <w:p>
            <w:r>
              <w:rPr>
                <w:rFonts w:ascii="Calibri" w:hAnsi="Calibri"/>
                <w:sz w:val="22"/>
              </w:rPr>
              <w:t>Total Revenues</w:t>
            </w:r>
          </w:p>
        </w:tc>
        <w:tc>
          <w:tcPr>
            <w:tcW w:type="dxa" w:w="1440"/>
          </w:tcPr>
          <w:p>
            <w:r>
              <w:rPr>
                <w:rFonts w:ascii="Calibri" w:hAnsi="Calibri"/>
                <w:sz w:val="22"/>
              </w:rPr>
              <w:t>$1,782M</w:t>
            </w:r>
          </w:p>
        </w:tc>
        <w:tc>
          <w:tcPr>
            <w:tcW w:type="dxa" w:w="1440"/>
          </w:tcPr>
          <w:p>
            <w:r>
              <w:rPr>
                <w:rFonts w:ascii="Calibri" w:hAnsi="Calibri"/>
                <w:sz w:val="22"/>
              </w:rPr>
              <w:t>$1,699M</w:t>
            </w:r>
          </w:p>
        </w:tc>
        <w:tc>
          <w:tcPr>
            <w:tcW w:type="dxa" w:w="1440"/>
          </w:tcPr>
          <w:p>
            <w:r>
              <w:rPr>
                <w:rFonts w:ascii="Calibri" w:hAnsi="Calibri"/>
                <w:b/>
                <w:color w:val="30A46C"/>
                <w:sz w:val="22"/>
              </w:rPr>
              <w:t>+4.9%</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Operating EPS</w:t>
            </w:r>
          </w:p>
        </w:tc>
        <w:tc>
          <w:tcPr>
            <w:tcW w:type="dxa" w:w="1440"/>
          </w:tcPr>
          <w:p>
            <w:r>
              <w:rPr>
                <w:rFonts w:ascii="Calibri" w:hAnsi="Calibri"/>
                <w:sz w:val="22"/>
              </w:rPr>
              <w:t>$2.17</w:t>
            </w:r>
          </w:p>
        </w:tc>
        <w:tc>
          <w:tcPr>
            <w:tcW w:type="dxa" w:w="1440"/>
          </w:tcPr>
          <w:p>
            <w:r>
              <w:rPr>
                <w:rFonts w:ascii="Calibri" w:hAnsi="Calibri"/>
                <w:sz w:val="22"/>
              </w:rPr>
              <w:t>$2.11</w:t>
            </w:r>
          </w:p>
        </w:tc>
        <w:tc>
          <w:tcPr>
            <w:tcW w:type="dxa" w:w="1440"/>
          </w:tcPr>
          <w:p>
            <w:r>
              <w:rPr>
                <w:rFonts w:ascii="Calibri" w:hAnsi="Calibri"/>
                <w:b/>
                <w:color w:val="30A46C"/>
                <w:sz w:val="22"/>
              </w:rPr>
              <w:t>+2.8%</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Total Revenues</w:t>
            </w:r>
          </w:p>
        </w:tc>
        <w:tc>
          <w:tcPr>
            <w:tcW w:type="dxa" w:w="1440"/>
          </w:tcPr>
          <w:p>
            <w:r>
              <w:rPr>
                <w:rFonts w:ascii="Calibri" w:hAnsi="Calibri"/>
                <w:sz w:val="22"/>
              </w:rPr>
              <w:t>$2,699M</w:t>
            </w:r>
          </w:p>
        </w:tc>
        <w:tc>
          <w:tcPr>
            <w:tcW w:type="dxa" w:w="1440"/>
          </w:tcPr>
          <w:p>
            <w:r>
              <w:rPr>
                <w:rFonts w:ascii="Calibri" w:hAnsi="Calibri"/>
                <w:sz w:val="22"/>
              </w:rPr>
              <w:t>$2,438M</w:t>
            </w:r>
          </w:p>
        </w:tc>
        <w:tc>
          <w:tcPr>
            <w:tcW w:type="dxa" w:w="1440"/>
          </w:tcPr>
          <w:p>
            <w:r>
              <w:rPr>
                <w:rFonts w:ascii="Calibri" w:hAnsi="Calibri"/>
                <w:b/>
                <w:color w:val="30A46C"/>
                <w:sz w:val="22"/>
              </w:rPr>
              <w:t>+10.7%</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Operating EPS</w:t>
            </w:r>
          </w:p>
        </w:tc>
        <w:tc>
          <w:tcPr>
            <w:tcW w:type="dxa" w:w="1440"/>
          </w:tcPr>
          <w:p>
            <w:r>
              <w:rPr>
                <w:rFonts w:ascii="Calibri" w:hAnsi="Calibri"/>
                <w:sz w:val="22"/>
              </w:rPr>
              <w:t>$1.01</w:t>
            </w:r>
          </w:p>
        </w:tc>
        <w:tc>
          <w:tcPr>
            <w:tcW w:type="dxa" w:w="1440"/>
          </w:tcPr>
          <w:p>
            <w:r>
              <w:rPr>
                <w:rFonts w:ascii="Calibri" w:hAnsi="Calibri"/>
                <w:sz w:val="22"/>
              </w:rPr>
              <w:t>$0.98</w:t>
            </w:r>
          </w:p>
        </w:tc>
        <w:tc>
          <w:tcPr>
            <w:tcW w:type="dxa" w:w="1440"/>
          </w:tcPr>
          <w:p>
            <w:r>
              <w:rPr>
                <w:rFonts w:ascii="Calibri" w:hAnsi="Calibri"/>
                <w:b/>
                <w:color w:val="30A46C"/>
                <w:sz w:val="22"/>
              </w:rPr>
              <w:t>+3.1%</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Total Revenues</w:t>
            </w:r>
          </w:p>
        </w:tc>
        <w:tc>
          <w:tcPr>
            <w:tcW w:type="dxa" w:w="1440"/>
          </w:tcPr>
          <w:p>
            <w:r>
              <w:rPr>
                <w:rFonts w:ascii="Calibri" w:hAnsi="Calibri"/>
                <w:sz w:val="22"/>
              </w:rPr>
              <w:t>$2,221M</w:t>
            </w:r>
          </w:p>
        </w:tc>
        <w:tc>
          <w:tcPr>
            <w:tcW w:type="dxa" w:w="1440"/>
          </w:tcPr>
          <w:p>
            <w:r>
              <w:rPr>
                <w:rFonts w:ascii="Calibri" w:hAnsi="Calibri"/>
                <w:sz w:val="22"/>
              </w:rPr>
              <w:t>$1,763M</w:t>
            </w:r>
          </w:p>
        </w:tc>
        <w:tc>
          <w:tcPr>
            <w:tcW w:type="dxa" w:w="1440"/>
          </w:tcPr>
          <w:p>
            <w:r>
              <w:rPr>
                <w:rFonts w:ascii="Calibri" w:hAnsi="Calibri"/>
                <w:b/>
                <w:color w:val="30A46C"/>
                <w:sz w:val="22"/>
              </w:rPr>
              <w:t>+26.0%</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Operating EPS</w:t>
            </w:r>
          </w:p>
        </w:tc>
        <w:tc>
          <w:tcPr>
            <w:tcW w:type="dxa" w:w="1440"/>
          </w:tcPr>
          <w:p>
            <w:r>
              <w:rPr>
                <w:rFonts w:ascii="Calibri" w:hAnsi="Calibri"/>
                <w:sz w:val="22"/>
              </w:rPr>
              <w:t>$1.06</w:t>
            </w:r>
          </w:p>
        </w:tc>
        <w:tc>
          <w:tcPr>
            <w:tcW w:type="dxa" w:w="1440"/>
          </w:tcPr>
          <w:p>
            <w:r>
              <w:rPr>
                <w:rFonts w:ascii="Calibri" w:hAnsi="Calibri"/>
                <w:sz w:val="22"/>
              </w:rPr>
              <w:t>$1.06</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Q1 2025</w:t>
            </w:r>
          </w:p>
        </w:tc>
        <w:tc>
          <w:tcPr>
            <w:tcW w:type="dxa" w:w="1440"/>
          </w:tcPr>
          <w:p>
            <w:r>
              <w:rPr>
                <w:rFonts w:ascii="Calibri" w:hAnsi="Calibri"/>
                <w:sz w:val="22"/>
              </w:rPr>
              <w:t>Total Revenues</w:t>
            </w:r>
          </w:p>
        </w:tc>
        <w:tc>
          <w:tcPr>
            <w:tcW w:type="dxa" w:w="1440"/>
          </w:tcPr>
          <w:p>
            <w:r>
              <w:rPr>
                <w:rFonts w:ascii="Calibri" w:hAnsi="Calibri"/>
                <w:sz w:val="22"/>
              </w:rPr>
              <w:t>$2,097M</w:t>
            </w:r>
          </w:p>
        </w:tc>
        <w:tc>
          <w:tcPr>
            <w:tcW w:type="dxa" w:w="1440"/>
          </w:tcPr>
          <w:p>
            <w:r>
              <w:rPr>
                <w:rFonts w:ascii="Calibri" w:hAnsi="Calibri"/>
                <w:sz w:val="22"/>
              </w:rPr>
              <w:t>$1,923M</w:t>
            </w:r>
          </w:p>
        </w:tc>
        <w:tc>
          <w:tcPr>
            <w:tcW w:type="dxa" w:w="1440"/>
          </w:tcPr>
          <w:p>
            <w:r>
              <w:rPr>
                <w:rFonts w:ascii="Calibri" w:hAnsi="Calibri"/>
                <w:b/>
                <w:color w:val="30A46C"/>
                <w:sz w:val="22"/>
              </w:rPr>
              <w:t>+9.0%</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Operating EPS</w:t>
            </w:r>
          </w:p>
        </w:tc>
        <w:tc>
          <w:tcPr>
            <w:tcW w:type="dxa" w:w="1440"/>
          </w:tcPr>
          <w:p>
            <w:r>
              <w:rPr>
                <w:rFonts w:ascii="Calibri" w:hAnsi="Calibri"/>
                <w:sz w:val="22"/>
              </w:rPr>
              <w:t>$0.77</w:t>
            </w:r>
          </w:p>
        </w:tc>
        <w:tc>
          <w:tcPr>
            <w:tcW w:type="dxa" w:w="1440"/>
          </w:tcPr>
          <w:p>
            <w:r>
              <w:rPr>
                <w:rFonts w:ascii="Calibri" w:hAnsi="Calibri"/>
                <w:sz w:val="22"/>
              </w:rPr>
              <w:t>$0.80</w:t>
            </w:r>
          </w:p>
        </w:tc>
        <w:tc>
          <w:tcPr>
            <w:tcW w:type="dxa" w:w="1440"/>
          </w:tcPr>
          <w:p>
            <w:r>
              <w:rPr>
                <w:rFonts w:ascii="Calibri" w:hAnsi="Calibri"/>
                <w:b/>
                <w:color w:val="E5484D"/>
                <w:sz w:val="22"/>
              </w:rPr>
              <w:t>−3.8%</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Total Revenues</w:t>
            </w:r>
          </w:p>
        </w:tc>
        <w:tc>
          <w:tcPr>
            <w:tcW w:type="dxa" w:w="1440"/>
          </w:tcPr>
          <w:p>
            <w:r>
              <w:rPr>
                <w:rFonts w:ascii="Calibri" w:hAnsi="Calibri"/>
                <w:sz w:val="22"/>
              </w:rPr>
              <w:t>$1,941M</w:t>
            </w:r>
          </w:p>
        </w:tc>
        <w:tc>
          <w:tcPr>
            <w:tcW w:type="dxa" w:w="1440"/>
          </w:tcPr>
          <w:p>
            <w:r>
              <w:rPr>
                <w:rFonts w:ascii="Calibri" w:hAnsi="Calibri"/>
                <w:sz w:val="22"/>
              </w:rPr>
              <w:t>$1,898M</w:t>
            </w:r>
          </w:p>
        </w:tc>
        <w:tc>
          <w:tcPr>
            <w:tcW w:type="dxa" w:w="1440"/>
          </w:tcPr>
          <w:p>
            <w:r>
              <w:rPr>
                <w:rFonts w:ascii="Calibri" w:hAnsi="Calibri"/>
                <w:b/>
                <w:color w:val="30A46C"/>
                <w:sz w:val="22"/>
              </w:rPr>
              <w:t>+2.3%</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Operating EPS</w:t>
            </w:r>
          </w:p>
        </w:tc>
        <w:tc>
          <w:tcPr>
            <w:tcW w:type="dxa" w:w="1440"/>
          </w:tcPr>
          <w:p>
            <w:r>
              <w:rPr>
                <w:rFonts w:ascii="Calibri" w:hAnsi="Calibri"/>
                <w:sz w:val="22"/>
              </w:rPr>
              <w:t>$1.87</w:t>
            </w:r>
          </w:p>
        </w:tc>
        <w:tc>
          <w:tcPr>
            <w:tcW w:type="dxa" w:w="1440"/>
          </w:tcPr>
          <w:p>
            <w:r>
              <w:rPr>
                <w:rFonts w:ascii="Calibri" w:hAnsi="Calibri"/>
                <w:sz w:val="22"/>
              </w:rPr>
              <w:t>$1.91</w:t>
            </w:r>
          </w:p>
        </w:tc>
        <w:tc>
          <w:tcPr>
            <w:tcW w:type="dxa" w:w="1440"/>
          </w:tcPr>
          <w:p>
            <w:r>
              <w:rPr>
                <w:rFonts w:ascii="Calibri" w:hAnsi="Calibri"/>
                <w:b/>
                <w:color w:val="E5484D"/>
                <w:sz w:val="22"/>
              </w:rPr>
              <w:t>−2.1%</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Total Revenues</w:t>
            </w:r>
          </w:p>
        </w:tc>
        <w:tc>
          <w:tcPr>
            <w:tcW w:type="dxa" w:w="1440"/>
          </w:tcPr>
          <w:p>
            <w:r>
              <w:rPr>
                <w:rFonts w:ascii="Calibri" w:hAnsi="Calibri"/>
                <w:sz w:val="22"/>
              </w:rPr>
              <w:t>$2,173M</w:t>
            </w:r>
          </w:p>
        </w:tc>
        <w:tc>
          <w:tcPr>
            <w:tcW w:type="dxa" w:w="1440"/>
          </w:tcPr>
          <w:p>
            <w:r>
              <w:rPr>
                <w:rFonts w:ascii="Calibri" w:hAnsi="Calibri"/>
                <w:sz w:val="22"/>
              </w:rPr>
              <w:t>$2,292M</w:t>
            </w:r>
          </w:p>
        </w:tc>
        <w:tc>
          <w:tcPr>
            <w:tcW w:type="dxa" w:w="1440"/>
          </w:tcPr>
          <w:p>
            <w:r>
              <w:rPr>
                <w:rFonts w:ascii="Calibri" w:hAnsi="Calibri"/>
                <w:b/>
                <w:color w:val="E5484D"/>
                <w:sz w:val="22"/>
              </w:rPr>
              <w:t>−5.2%</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Operating EPS</w:t>
            </w:r>
          </w:p>
        </w:tc>
        <w:tc>
          <w:tcPr>
            <w:tcW w:type="dxa" w:w="1440"/>
          </w:tcPr>
          <w:p>
            <w:r>
              <w:rPr>
                <w:rFonts w:ascii="Calibri" w:hAnsi="Calibri"/>
                <w:sz w:val="22"/>
              </w:rPr>
              <w:t>$0.97</w:t>
            </w:r>
          </w:p>
        </w:tc>
        <w:tc>
          <w:tcPr>
            <w:tcW w:type="dxa" w:w="1440"/>
          </w:tcPr>
          <w:p>
            <w:r>
              <w:rPr>
                <w:rFonts w:ascii="Calibri" w:hAnsi="Calibri"/>
                <w:sz w:val="22"/>
              </w:rPr>
              <w:t>$0.98</w:t>
            </w:r>
          </w:p>
        </w:tc>
        <w:tc>
          <w:tcPr>
            <w:tcW w:type="dxa" w:w="1440"/>
          </w:tcPr>
          <w:p>
            <w:r>
              <w:rPr>
                <w:rFonts w:ascii="Calibri" w:hAnsi="Calibri"/>
                <w:sz w:val="22"/>
              </w:rPr>
              <w:t>−1.0%</w:t>
            </w:r>
          </w:p>
        </w:tc>
        <w:tc>
          <w:tcPr>
            <w:tcW w:type="dxa" w:w="1440"/>
          </w:tcPr>
          <w:p>
            <w:r>
              <w:rPr>
                <w:rFonts w:ascii="Calibri" w:hAnsi="Calibri"/>
                <w:sz w:val="22"/>
              </w:rPr>
              <w:t>In Line</w:t>
            </w:r>
          </w:p>
        </w:tc>
      </w:tr>
      <w:tr>
        <w:tc>
          <w:tcPr>
            <w:tcW w:type="dxa" w:w="1440"/>
          </w:tcPr>
          <w:p>
            <w:r>
              <w:rPr>
                <w:rFonts w:ascii="Calibri" w:hAnsi="Calibri"/>
                <w:sz w:val="22"/>
              </w:rPr>
              <w:t>Q2 2024</w:t>
            </w:r>
          </w:p>
        </w:tc>
        <w:tc>
          <w:tcPr>
            <w:tcW w:type="dxa" w:w="1440"/>
          </w:tcPr>
          <w:p>
            <w:r>
              <w:rPr>
                <w:rFonts w:ascii="Calibri" w:hAnsi="Calibri"/>
                <w:sz w:val="22"/>
              </w:rPr>
              <w:t>Total Revenues</w:t>
            </w:r>
          </w:p>
        </w:tc>
        <w:tc>
          <w:tcPr>
            <w:tcW w:type="dxa" w:w="1440"/>
          </w:tcPr>
          <w:p>
            <w:r>
              <w:rPr>
                <w:rFonts w:ascii="Calibri" w:hAnsi="Calibri"/>
                <w:sz w:val="22"/>
              </w:rPr>
              <w:t>$1,693M</w:t>
            </w:r>
          </w:p>
        </w:tc>
        <w:tc>
          <w:tcPr>
            <w:tcW w:type="dxa" w:w="1440"/>
          </w:tcPr>
          <w:p>
            <w:r>
              <w:rPr>
                <w:rFonts w:ascii="Calibri" w:hAnsi="Calibri"/>
                <w:sz w:val="22"/>
              </w:rPr>
              <w:t>$1,812M</w:t>
            </w:r>
          </w:p>
        </w:tc>
        <w:tc>
          <w:tcPr>
            <w:tcW w:type="dxa" w:w="1440"/>
          </w:tcPr>
          <w:p>
            <w:r>
              <w:rPr>
                <w:rFonts w:ascii="Calibri" w:hAnsi="Calibri"/>
                <w:b/>
                <w:color w:val="E5484D"/>
                <w:sz w:val="22"/>
              </w:rPr>
              <w:t>−6.6%</w:t>
            </w:r>
          </w:p>
        </w:tc>
        <w:tc>
          <w:tcPr>
            <w:tcW w:type="dxa" w:w="1440"/>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i/>
          <w:color w:val="525866"/>
          <w:sz w:val="22"/>
        </w:rPr>
        <w:t>AEE has beaten or matched operating EPS consensus in 5 of the last 8 quarters, with the most recent Q1 2026 delivering a meaningful +8.5% beat; revenue is a weaker predictor — AEE frequently misses on revenues due to weather and regulatory timing, while EPS beats via cost discipline and infrastructure earnings growth. Source: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Q1 print — Q2 2026 EPS consensus is essentially flat vs. the post-Q1 baseline, and full-year 2026 consensus of $5.38 sits just above the guidance midpoint of $5.35. There is no meaningful divergence between estimates and guidance, suggesting the street is tracking management’s framework closely with no embedded upside or downside surprise.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12, 2026)</w:t>
            </w:r>
          </w:p>
        </w:tc>
        <w:tc>
          <w:tcPr>
            <w:tcW w:type="dxa" w:w="1080"/>
            <w:shd w:val="clear" w:color="auto" w:fill="3B4259"/>
          </w:tcPr>
          <w:p>
            <w:r>
              <w:rPr>
                <w:rFonts w:ascii="Calibri" w:hAnsi="Calibri"/>
                <w:b/>
                <w:color w:val="FFFFFF"/>
                <w:sz w:val="22"/>
              </w:rPr>
              <w:t>Current Consensus (July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Operating EPS (Q2 2026)</w:t>
            </w:r>
          </w:p>
        </w:tc>
        <w:tc>
          <w:tcPr>
            <w:tcW w:type="dxa" w:w="1080"/>
          </w:tcPr>
          <w:p>
            <w:r>
              <w:rPr>
                <w:rFonts w:ascii="Calibri" w:hAnsi="Calibri"/>
                <w:sz w:val="22"/>
              </w:rPr>
              <w:t>N/A (not available as of 5/12)</w:t>
            </w:r>
          </w:p>
        </w:tc>
        <w:tc>
          <w:tcPr>
            <w:tcW w:type="dxa" w:w="1080"/>
          </w:tcPr>
          <w:p>
            <w:r>
              <w:rPr>
                <w:rFonts w:ascii="Calibri" w:hAnsi="Calibri"/>
                <w:sz w:val="22"/>
              </w:rPr>
              <w:t>$1.08</w:t>
            </w:r>
          </w:p>
        </w:tc>
        <w:tc>
          <w:tcPr>
            <w:tcW w:type="dxa" w:w="1080"/>
          </w:tcPr>
          <w:p>
            <w:r>
              <w:rPr>
                <w:rFonts w:ascii="Calibri" w:hAnsi="Calibri"/>
                <w:sz w:val="22"/>
              </w:rPr>
              <w:t>N/A</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Operating EPS (FY 2026)</w:t>
            </w:r>
          </w:p>
        </w:tc>
        <w:tc>
          <w:tcPr>
            <w:tcW w:type="dxa" w:w="1080"/>
          </w:tcPr>
          <w:p>
            <w:r>
              <w:rPr>
                <w:rFonts w:ascii="Calibri" w:hAnsi="Calibri"/>
                <w:sz w:val="22"/>
              </w:rPr>
              <w:t>$5.35 (as of 5/12/26)</w:t>
            </w:r>
          </w:p>
        </w:tc>
        <w:tc>
          <w:tcPr>
            <w:tcW w:type="dxa" w:w="1080"/>
          </w:tcPr>
          <w:p>
            <w:r>
              <w:rPr>
                <w:rFonts w:ascii="Calibri" w:hAnsi="Calibri"/>
                <w:sz w:val="22"/>
              </w:rPr>
              <w:t>$5.38</w:t>
            </w:r>
          </w:p>
        </w:tc>
        <w:tc>
          <w:tcPr>
            <w:tcW w:type="dxa" w:w="1080"/>
          </w:tcPr>
          <w:p>
            <w:r>
              <w:rPr>
                <w:rFonts w:ascii="Calibri" w:hAnsi="Calibri"/>
                <w:sz w:val="22"/>
              </w:rPr>
              <w:t>+0.6%</w:t>
            </w:r>
          </w:p>
        </w:tc>
        <w:tc>
          <w:tcPr>
            <w:tcW w:type="dxa" w:w="1080"/>
          </w:tcPr>
          <w:p>
            <w:r>
              <w:rPr>
                <w:rFonts w:ascii="Calibri" w:hAnsi="Calibri"/>
                <w:sz w:val="22"/>
              </w:rPr>
              <w:t>$5.25–$5.45 (mid: $5.35)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+0.6% above midpoint</w:t>
            </w:r>
          </w:p>
        </w:tc>
      </w:tr>
      <w:tr>
        <w:tc>
          <w:tcPr>
            <w:tcW w:type="dxa" w:w="1080"/>
          </w:tcPr>
          <w:p>
            <w:r>
              <w:rPr>
                <w:rFonts w:ascii="Calibri" w:hAnsi="Calibri"/>
                <w:sz w:val="22"/>
              </w:rPr>
              <w:t>Operating EPS (FY 2027)</w:t>
            </w:r>
          </w:p>
        </w:tc>
        <w:tc>
          <w:tcPr>
            <w:tcW w:type="dxa" w:w="1080"/>
          </w:tcPr>
          <w:p>
            <w:r>
              <w:rPr>
                <w:rFonts w:ascii="Calibri" w:hAnsi="Calibri"/>
                <w:sz w:val="22"/>
              </w:rPr>
              <w:t>$5.78 (as of 5/12/26)</w:t>
            </w:r>
          </w:p>
        </w:tc>
        <w:tc>
          <w:tcPr>
            <w:tcW w:type="dxa" w:w="1080"/>
          </w:tcPr>
          <w:p>
            <w:r>
              <w:rPr>
                <w:rFonts w:ascii="Calibri" w:hAnsi="Calibri"/>
                <w:sz w:val="22"/>
              </w:rPr>
              <w:t>$5.78</w:t>
            </w:r>
          </w:p>
        </w:tc>
        <w:tc>
          <w:tcPr>
            <w:tcW w:type="dxa" w:w="1080"/>
          </w:tcPr>
          <w:p>
            <w:r>
              <w:rPr>
                <w:rFonts w:ascii="Calibri" w:hAnsi="Calibri"/>
                <w:sz w:val="22"/>
              </w:rPr>
              <w:t>0.0%</w:t>
            </w:r>
          </w:p>
        </w:tc>
        <w:tc>
          <w:tcPr>
            <w:tcW w:type="dxa" w:w="1080"/>
          </w:tcPr>
          <w:p>
            <w:r>
              <w:rPr>
                <w:rFonts w:ascii="Calibri" w:hAnsi="Calibri"/>
                <w:sz w:val="22"/>
              </w:rPr>
              <w:t>6–8% CAGR from 2026 base (implied ~$5.57–$5.89)</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Within guidance range</w:t>
            </w:r>
          </w:p>
        </w:tc>
      </w:tr>
      <w:tr>
        <w:tc>
          <w:tcPr>
            <w:tcW w:type="dxa" w:w="1080"/>
          </w:tcPr>
          <w:p>
            <w:r>
              <w:rPr>
                <w:rFonts w:ascii="Calibri" w:hAnsi="Calibri"/>
                <w:sz w:val="22"/>
              </w:rPr>
              <w:t>Total Revenues (Q2 2026)</w:t>
            </w:r>
          </w:p>
        </w:tc>
        <w:tc>
          <w:tcPr>
            <w:tcW w:type="dxa" w:w="1080"/>
          </w:tcPr>
          <w:p>
            <w:r>
              <w:rPr>
                <w:rFonts w:ascii="Calibri" w:hAnsi="Calibri"/>
                <w:sz w:val="22"/>
              </w:rPr>
              <w:t>$2,457M (as of 5/12/26)</w:t>
            </w:r>
          </w:p>
        </w:tc>
        <w:tc>
          <w:tcPr>
            <w:tcW w:type="dxa" w:w="1080"/>
          </w:tcPr>
          <w:p>
            <w:r>
              <w:rPr>
                <w:rFonts w:ascii="Calibri" w:hAnsi="Calibri"/>
                <w:sz w:val="22"/>
              </w:rPr>
              <w:t>$2,346M</w:t>
            </w:r>
          </w:p>
        </w:tc>
        <w:tc>
          <w:tcPr>
            <w:tcW w:type="dxa" w:w="1080"/>
          </w:tcPr>
          <w:p>
            <w:r>
              <w:rPr>
                <w:rFonts w:ascii="Calibri" w:hAnsi="Calibri"/>
                <w:sz w:val="22"/>
              </w:rPr>
              <w:t>−4.5%</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Revenues (FY 2026)</w:t>
            </w:r>
          </w:p>
        </w:tc>
        <w:tc>
          <w:tcPr>
            <w:tcW w:type="dxa" w:w="1080"/>
          </w:tcPr>
          <w:p>
            <w:r>
              <w:rPr>
                <w:rFonts w:ascii="Calibri" w:hAnsi="Calibri"/>
                <w:sz w:val="22"/>
              </w:rPr>
              <w:t>$9,387M (as of 5/12/26)</w:t>
            </w:r>
          </w:p>
        </w:tc>
        <w:tc>
          <w:tcPr>
            <w:tcW w:type="dxa" w:w="1080"/>
          </w:tcPr>
          <w:p>
            <w:r>
              <w:rPr>
                <w:rFonts w:ascii="Calibri" w:hAnsi="Calibri"/>
                <w:sz w:val="22"/>
              </w:rPr>
              <w:t>$9,158M</w:t>
            </w:r>
          </w:p>
        </w:tc>
        <w:tc>
          <w:tcPr>
            <w:tcW w:type="dxa" w:w="1080"/>
          </w:tcPr>
          <w:p>
            <w:r>
              <w:rPr>
                <w:rFonts w:ascii="Calibri" w:hAnsi="Calibri"/>
                <w:sz w:val="22"/>
              </w:rPr>
              <w:t>−2.4%</w:t>
            </w:r>
          </w:p>
        </w:tc>
        <w:tc>
          <w:tcPr>
            <w:tcW w:type="dxa" w:w="1080"/>
          </w:tcPr>
          <w:p>
            <w:r>
              <w:rPr>
                <w:rFonts w:ascii="Calibri" w:hAnsi="Calibri"/>
                <w:sz w:val="22"/>
              </w:rPr>
              <w:t>No FY revenue guidance</w:t>
            </w:r>
          </w:p>
        </w:tc>
        <w:tc>
          <w:tcPr>
            <w:tcW w:type="dxa" w:w="1080"/>
          </w:tcPr>
          <w:p>
            <w:r>
              <w:rPr>
                <w:rFonts w:ascii="Calibri" w:hAnsi="Calibri"/>
                <w:sz w:val="22"/>
              </w:rPr>
              <w:t>No FY revenue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CapEx (FY 2026)</w:t>
            </w:r>
          </w:p>
        </w:tc>
        <w:tc>
          <w:tcPr>
            <w:tcW w:type="dxa" w:w="1080"/>
          </w:tcPr>
          <w:p>
            <w:r>
              <w:rPr>
                <w:rFonts w:ascii="Calibri" w:hAnsi="Calibri"/>
                <w:sz w:val="22"/>
              </w:rPr>
              <w:t>$5,518M (as of 5/12/26)</w:t>
            </w:r>
          </w:p>
        </w:tc>
        <w:tc>
          <w:tcPr>
            <w:tcW w:type="dxa" w:w="1080"/>
          </w:tcPr>
          <w:p>
            <w:r>
              <w:rPr>
                <w:rFonts w:ascii="Calibri" w:hAnsi="Calibri"/>
                <w:sz w:val="22"/>
              </w:rPr>
              <w:t>$5,598M</w:t>
            </w:r>
          </w:p>
        </w:tc>
        <w:tc>
          <w:tcPr>
            <w:tcW w:type="dxa" w:w="1080"/>
          </w:tcPr>
          <w:p>
            <w:r>
              <w:rPr>
                <w:rFonts w:ascii="Calibri" w:hAnsi="Calibri"/>
                <w:sz w:val="22"/>
              </w:rPr>
              <w:t>+1.5%</w:t>
            </w:r>
          </w:p>
        </w:tc>
        <w:tc>
          <w:tcPr>
            <w:tcW w:type="dxa" w:w="1080"/>
          </w:tcPr>
          <w:p>
            <w:r>
              <w:rPr>
                <w:rFonts w:ascii="Calibri" w:hAnsi="Calibri"/>
                <w:sz w:val="22"/>
              </w:rPr>
              <w:t>~$5.6B (implied from 5-yr plan)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Essentially in line</w:t>
            </w:r>
          </w:p>
        </w:tc>
      </w:tr>
    </w:tbl>
    <w:p>
      <w:r>
        <w:rPr>
          <w:rFonts w:ascii="Calibri" w:hAnsi="Calibri"/>
          <w:i/>
          <w:color w:val="525866"/>
          <w:sz w:val="22"/>
        </w:rPr>
        <w:t>Revenue estimates have been revised modestly lower since the Q1 print (Q2 down ~4.5%, FY down ~2.4%), likely reflecting weather normalization assumptions, while EPS estimates are essentially flat — consistent with AEE’s pattern of managing costs to offset revenue variability. The EPS-to-guidance alignment is tight, suggesting the street has high confidence in management’s ability to deliver within the range.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AEE has outperformed XLU by ~165 bps since Q1 earnings (AEE −1.5% vs. XLU −3.2%), with the outperformance driven by the late-June Missouri rate case filing and bond offering — regulatory catalysts rather than estimate revisions, suggesting the market is beginning to price in the regulatory cycle rather than just the data center story.</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AEE vs. XLU (Utilities ETF) — Indexed to 100 at Q1 2026 Earnings Date (May 5, 2026). Source: Stock Price Data.</w:t>
      </w:r>
    </w:p>
    <w:p>
      <w:pPr>
        <w:pStyle w:val="ListBullet"/>
        <w:ind w:left="360" w:hanging="360"/>
      </w:pPr>
      <w:r>
        <w:rPr>
          <w:rFonts w:ascii="Calibri" w:hAnsi="Calibri"/>
          <w:b/>
          <w:color w:val="525866"/>
          <w:sz w:val="22"/>
        </w:rPr>
        <w:t xml:space="preserve">AEE: </w:t>
      </w:r>
      <w:r>
        <w:rPr>
          <w:rFonts w:ascii="Calibri" w:hAnsi="Calibri"/>
          <w:color w:val="525866"/>
          <w:sz w:val="22"/>
        </w:rPr>
        <w:t>−1.5% since May 5, 2026 (from $111.64 to $109.97 as of July 30, 2026)</w:t>
      </w:r>
    </w:p>
    <w:p>
      <w:pPr>
        <w:pStyle w:val="ListBullet"/>
        <w:ind w:left="360" w:hanging="360"/>
      </w:pPr>
      <w:r>
        <w:rPr>
          <w:rFonts w:ascii="Calibri" w:hAnsi="Calibri"/>
          <w:b/>
          <w:color w:val="525866"/>
          <w:sz w:val="22"/>
        </w:rPr>
        <w:t xml:space="preserve">XLU (Utilities ETF): </w:t>
      </w:r>
      <w:r>
        <w:rPr>
          <w:rFonts w:ascii="Calibri" w:hAnsi="Calibri"/>
          <w:color w:val="525866"/>
          <w:sz w:val="22"/>
        </w:rPr>
        <w:t>−3.2% over the same period (from $46.37 to $44.91)</w:t>
      </w:r>
    </w:p>
    <w:p>
      <w:pPr>
        <w:pStyle w:val="ListBullet"/>
        <w:ind w:left="360" w:hanging="360"/>
      </w:pPr>
      <w:r>
        <w:rPr>
          <w:rFonts w:ascii="Calibri" w:hAnsi="Calibri"/>
          <w:b/>
          <w:color w:val="525866"/>
          <w:sz w:val="22"/>
        </w:rPr>
        <w:t xml:space="preserve">AEE outperformance vs. XLU: </w:t>
      </w:r>
      <w:r>
        <w:rPr>
          <w:rFonts w:ascii="Calibri" w:hAnsi="Calibri"/>
          <w:color w:val="525866"/>
          <w:sz w:val="22"/>
        </w:rPr>
        <w:t>+165 bps</w:t>
      </w:r>
    </w:p>
    <w:p>
      <w:pPr>
        <w:pStyle w:val="ListBullet"/>
        <w:ind w:left="360" w:hanging="360"/>
      </w:pPr>
      <w:r>
        <w:rPr>
          <w:rFonts w:ascii="Calibri" w:hAnsi="Calibri"/>
          <w:b/>
          <w:color w:val="525866"/>
          <w:sz w:val="22"/>
        </w:rPr>
        <w:t xml:space="preserve">Key events: </w:t>
      </w:r>
      <w:r>
        <w:rPr>
          <w:rFonts w:ascii="Calibri" w:hAnsi="Calibri"/>
          <w:color w:val="525866"/>
          <w:sz w:val="22"/>
        </w:rPr>
        <w:t>Notable spike to $118.32 on June 26 (Missouri rate case filing, $343M revenue request) — the single largest single-day move in the period. Ameren Missouri $500M bond offering on June 29 was well-received. Stock has since retraced to ~$110, suggesting the rate case catalyst was partially priced in.</w:t>
      </w:r>
    </w:p>
    <w:p>
      <w:r>
        <w:rPr>
          <w:rFonts w:ascii="Calibri" w:hAnsi="Calibri"/>
          <w:i/>
          <w:color w:val="525866"/>
          <w:sz w:val="22"/>
        </w:rPr>
        <w:t>The stock’s outperformance vs. XLU is driven by regulatory catalysts (rate case filing, bond offering) rather than estimate revisions, which have been flat. The premium multiple (forward P/E above sector average) reflects the data center growth optionality, but the stock has not yet re-rated to price in full ESA conversion upside — leaving room for a positive catalyst at Q2 earnings if management delivers on the groundbreaking and ESA conversion narrative.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Missouri electric rate case filing on June 26 ($343M revenue request, 10.25% ROE) — this is the primary near-term regulatory catalyst and sets the stage for new rates effective June 2027, directly supporting the rate base growth narrative.</w:t>
      </w:r>
    </w:p>
    <w:p>
      <w:pPr>
        <w:pStyle w:val="ListBullet"/>
        <w:ind w:left="360" w:hanging="360"/>
      </w:pPr>
      <w:r>
        <w:rPr>
          <w:rFonts w:ascii="Calibri" w:hAnsi="Calibri"/>
          <w:b/>
          <w:color w:val="525866"/>
          <w:sz w:val="22"/>
        </w:rPr>
        <w:t xml:space="preserve">June 26, 2026 — Missouri Electric Rate Case Filed ($343M Revenue Request): </w:t>
      </w:r>
      <w:r>
        <w:rPr>
          <w:rFonts w:ascii="Calibri" w:hAnsi="Calibri"/>
          <w:color w:val="525866"/>
          <w:sz w:val="22"/>
        </w:rPr>
        <w:t xml:space="preserve">Ameren Missouri filed with the MoPSC seeking a $343M annual revenue increase, based on a 10.25% ROE, 52% equity ratio, and $16.7B rate base (test year ended March 31, 2026). Decision expected by May 2027; new rates effective June 2027. </w:t>
      </w:r>
      <w:r>
        <w:rPr>
          <w:rFonts w:ascii="Calibri" w:hAnsi="Calibri"/>
          <w:i/>
          <w:color w:val="525866"/>
          <w:sz w:val="22"/>
        </w:rPr>
        <w:t xml:space="preserve">Implication: </w:t>
      </w:r>
      <w:r>
        <w:rPr>
          <w:rFonts w:ascii="Calibri" w:hAnsi="Calibri"/>
          <w:i/>
          <w:color w:val="525866"/>
          <w:sz w:val="22"/>
        </w:rPr>
        <w:t>Filed on schedule per Q1 guidance. The 10.25% ROE request is consistent with peer filings (CMS filed 10.25% ROE in June 2026). A constructive outcome would directly support the 10.6% rate base CAGR narrative and underpin FY 2027+ EPS growth.</w:t>
      </w:r>
    </w:p>
    <w:p>
      <w:pPr>
        <w:pStyle w:val="ListBullet"/>
        <w:ind w:left="360" w:hanging="360"/>
      </w:pPr>
      <w:r>
        <w:rPr>
          <w:rFonts w:ascii="Calibri" w:hAnsi="Calibri"/>
          <w:b/>
          <w:color w:val="525866"/>
          <w:sz w:val="22"/>
        </w:rPr>
        <w:t xml:space="preserve">June 29, 2026 — Ameren Missouri Completes $500M Bond Offering (5.75% First Mortgage Bonds due 2056): </w:t>
      </w:r>
      <w:r>
        <w:rPr>
          <w:rFonts w:ascii="Calibri" w:hAnsi="Calibri"/>
          <w:color w:val="525866"/>
          <w:sz w:val="22"/>
        </w:rPr>
        <w:t xml:space="preserve">Net proceeds of ~$492M. Consistent with the disclosed financing plan. </w:t>
      </w:r>
      <w:r>
        <w:rPr>
          <w:rFonts w:ascii="Calibri" w:hAnsi="Calibri"/>
          <w:i/>
          <w:color w:val="525866"/>
          <w:sz w:val="22"/>
        </w:rPr>
        <w:t xml:space="preserve">Implication: </w:t>
      </w:r>
      <w:r>
        <w:rPr>
          <w:rFonts w:ascii="Calibri" w:hAnsi="Calibri"/>
          <w:i/>
          <w:color w:val="525866"/>
          <w:sz w:val="22"/>
        </w:rPr>
        <w:t>Demonstrates continued access to capital markets at reasonable rates, supporting the $32B 5-year capital plan execution. No equity dilution.</w:t>
      </w:r>
    </w:p>
    <w:p>
      <w:pPr>
        <w:pStyle w:val="ListBullet"/>
        <w:ind w:left="360" w:hanging="360"/>
      </w:pPr>
      <w:r>
        <w:rPr>
          <w:rFonts w:ascii="Calibri" w:hAnsi="Calibri"/>
          <w:b/>
          <w:color w:val="525866"/>
          <w:sz w:val="22"/>
        </w:rPr>
        <w:t xml:space="preserve">May 5, 2026 — Q1 2026 Earnings: EPS Beat, Revenue Miss, Guidance Reaffirmed: </w:t>
      </w:r>
      <w:r>
        <w:rPr>
          <w:rFonts w:ascii="Calibri" w:hAnsi="Calibri"/>
          <w:color w:val="525866"/>
          <w:sz w:val="22"/>
        </w:rPr>
        <w:t xml:space="preserve">Operating EPS of $1.28 beat consensus of $1.18 by 8.5%. Revenue of $2,176M missed consensus of $2,273M due to warmer-than-normal winter weather in Missouri. Full-year 2026 guidance reaffirmed at $5.25–$5.45. 2.2 GW ESA sites confirmed as secured; groundbreakings expected Q2 2026. </w:t>
      </w:r>
      <w:r>
        <w:rPr>
          <w:rFonts w:ascii="Calibri" w:hAnsi="Calibri"/>
          <w:i/>
          <w:color w:val="525866"/>
          <w:sz w:val="22"/>
        </w:rPr>
        <w:t xml:space="preserve">Implication: </w:t>
      </w:r>
      <w:r>
        <w:rPr>
          <w:rFonts w:ascii="Calibri" w:hAnsi="Calibri"/>
          <w:i/>
          <w:color w:val="525866"/>
          <w:sz w:val="22"/>
        </w:rPr>
        <w:t>Strong EPS beat driven by infrastructure investment earnings growth. The Q2 groundbreaking confirmation is the key watch item for the upcoming print.</w:t>
      </w:r>
    </w:p>
    <w:p>
      <w:pPr>
        <w:pStyle w:val="ListBullet"/>
        <w:ind w:left="360" w:hanging="360"/>
      </w:pPr>
      <w:r>
        <w:rPr>
          <w:rFonts w:ascii="Calibri" w:hAnsi="Calibri"/>
          <w:b/>
          <w:color w:val="525866"/>
          <w:sz w:val="22"/>
        </w:rPr>
        <w:t xml:space="preserve">April 2026 — S&amp;P Affirms BBB+ Credit Rating with Stable Outlook: </w:t>
      </w:r>
      <w:r>
        <w:rPr>
          <w:rFonts w:ascii="Calibri" w:hAnsi="Calibri"/>
          <w:color w:val="525866"/>
          <w:sz w:val="22"/>
        </w:rPr>
        <w:t xml:space="preserve">S&amp;P affirmed AEE’s BBB+ rating and stable outlook, citing solid execution and improving financial metrics. Moody’s annual credit opinion expected in coming weeks. </w:t>
      </w:r>
      <w:r>
        <w:rPr>
          <w:rFonts w:ascii="Calibri" w:hAnsi="Calibri"/>
          <w:i/>
          <w:color w:val="525866"/>
          <w:sz w:val="22"/>
        </w:rPr>
        <w:t xml:space="preserve">Implication: </w:t>
      </w:r>
      <w:r>
        <w:rPr>
          <w:rFonts w:ascii="Calibri" w:hAnsi="Calibri"/>
          <w:i/>
          <w:color w:val="525866"/>
          <w:sz w:val="22"/>
        </w:rPr>
        <w:t>Removes near-term credit downgrade risk; management noted position is closer to upgrade territory at S&amp;P. Supports continued ATM equity issuance at favorable prices.</w:t>
      </w:r>
    </w:p>
    <w:p>
      <w:pPr>
        <w:pStyle w:val="ListBullet"/>
        <w:ind w:left="360" w:hanging="360"/>
      </w:pPr>
      <w:r>
        <w:rPr>
          <w:rFonts w:ascii="Calibri" w:hAnsi="Calibri"/>
          <w:b/>
          <w:color w:val="525866"/>
          <w:sz w:val="22"/>
        </w:rPr>
        <w:t xml:space="preserve">Q2 2026 — Big Hollow Energy Center Construction Commenced: </w:t>
      </w:r>
      <w:r>
        <w:rPr>
          <w:rFonts w:ascii="Calibri" w:hAnsi="Calibri"/>
          <w:color w:val="525866"/>
          <w:sz w:val="22"/>
        </w:rPr>
        <w:t xml:space="preserve">Construction on the 800 MW Big Hollow simple cycle natural gas energy center (expected in service 2028) began in Q2 2026, with contractors mobilizing and site preparation underway. Also includes 400 MW of battery storage. </w:t>
      </w:r>
      <w:r>
        <w:rPr>
          <w:rFonts w:ascii="Calibri" w:hAnsi="Calibri"/>
          <w:i/>
          <w:color w:val="525866"/>
          <w:sz w:val="22"/>
        </w:rPr>
        <w:t xml:space="preserve">Implication: </w:t>
      </w:r>
      <w:r>
        <w:rPr>
          <w:rFonts w:ascii="Calibri" w:hAnsi="Calibri"/>
          <w:i/>
          <w:color w:val="525866"/>
          <w:sz w:val="22"/>
        </w:rPr>
        <w:t>On-schedule execution of the generation build-out is critical to serving the 2.2 GW ESA load. Any delay would be a negative signal.</w:t>
      </w:r>
    </w:p>
    <w:p>
      <w:pPr>
        <w:pStyle w:val="ListBullet"/>
        <w:ind w:left="360" w:hanging="360"/>
      </w:pPr>
      <w:r>
        <w:rPr>
          <w:rFonts w:ascii="Calibri" w:hAnsi="Calibri"/>
          <w:b/>
          <w:color w:val="525866"/>
          <w:sz w:val="22"/>
        </w:rPr>
        <w:t xml:space="preserve">Q2 2026 — Split Rail Energy Center Final Commissioning: </w:t>
      </w:r>
      <w:r>
        <w:rPr>
          <w:rFonts w:ascii="Calibri" w:hAnsi="Calibri"/>
          <w:color w:val="525866"/>
          <w:sz w:val="22"/>
        </w:rPr>
        <w:t xml:space="preserve">The 300 MW Split Rail Energy Center entered final commissioning activities in Q2 2026. </w:t>
      </w:r>
      <w:r>
        <w:rPr>
          <w:rFonts w:ascii="Calibri" w:hAnsi="Calibri"/>
          <w:i/>
          <w:color w:val="525866"/>
          <w:sz w:val="22"/>
        </w:rPr>
        <w:t xml:space="preserve">Implication: </w:t>
      </w:r>
      <w:r>
        <w:rPr>
          <w:rFonts w:ascii="Calibri" w:hAnsi="Calibri"/>
          <w:i/>
          <w:color w:val="525866"/>
          <w:sz w:val="22"/>
        </w:rPr>
        <w:t>Adds to the generation capacity pipeline; successful commissioning supports the 5 GW by 2030 target.</w:t>
      </w:r>
    </w:p>
    <w:p>
      <w:pPr>
        <w:pStyle w:val="ListBullet"/>
        <w:ind w:left="360" w:hanging="360"/>
      </w:pPr>
      <w:r>
        <w:rPr>
          <w:rFonts w:ascii="Calibri" w:hAnsi="Calibri"/>
          <w:b/>
          <w:color w:val="525866"/>
          <w:sz w:val="22"/>
        </w:rPr>
        <w:t xml:space="preserve">Q2 2026 — Illinois Rate Reconciliation Filing ($65M): </w:t>
      </w:r>
      <w:r>
        <w:rPr>
          <w:rFonts w:ascii="Calibri" w:hAnsi="Calibri"/>
          <w:color w:val="525866"/>
          <w:sz w:val="22"/>
        </w:rPr>
        <w:t xml:space="preserve">Ameren Illinois requested a $65M revenue adjustment in April 2026 as part of its annual performance-based rate reconciliation. ICC decision expected December 2026; rates effective January 2027. </w:t>
      </w:r>
      <w:r>
        <w:rPr>
          <w:rFonts w:ascii="Calibri" w:hAnsi="Calibri"/>
          <w:i/>
          <w:color w:val="525866"/>
          <w:sz w:val="22"/>
        </w:rPr>
        <w:t xml:space="preserve">Implication: </w:t>
      </w:r>
      <w:r>
        <w:rPr>
          <w:rFonts w:ascii="Calibri" w:hAnsi="Calibri"/>
          <w:i/>
          <w:color w:val="525866"/>
          <w:sz w:val="22"/>
        </w:rPr>
        <w:t>Routine regulatory process; constructive outcome expected given the formula-rate structure in Illinois.</w:t>
      </w:r>
    </w:p>
    <w:p>
      <w:pPr>
        <w:pStyle w:val="ListBullet"/>
        <w:ind w:left="360" w:hanging="360"/>
      </w:pPr>
      <w:r>
        <w:rPr>
          <w:rFonts w:ascii="Calibri" w:hAnsi="Calibri"/>
          <w:b/>
          <w:color w:val="525866"/>
          <w:sz w:val="22"/>
        </w:rPr>
        <w:t xml:space="preserve">September 2026 — Missouri IRP Update (Upcoming Catalyst): </w:t>
      </w:r>
      <w:r>
        <w:rPr>
          <w:rFonts w:ascii="Calibri" w:hAnsi="Calibri"/>
          <w:color w:val="525866"/>
          <w:sz w:val="22"/>
        </w:rPr>
        <w:t xml:space="preserve">The Missouri Integrated Resource Plan update is targeted for late September 2026. </w:t>
      </w:r>
      <w:r>
        <w:rPr>
          <w:rFonts w:ascii="Calibri" w:hAnsi="Calibri"/>
          <w:i/>
          <w:color w:val="525866"/>
          <w:sz w:val="22"/>
        </w:rPr>
        <w:t xml:space="preserve">Implication: </w:t>
      </w:r>
      <w:r>
        <w:rPr>
          <w:rFonts w:ascii="Calibri" w:hAnsi="Calibri"/>
          <w:i/>
          <w:color w:val="525866"/>
          <w:sz w:val="22"/>
        </w:rPr>
        <w:t>Expected to serve as a key milestone for updated sales forecasts, generation plans, and potential capital plan revisions upward. Management may provide early color on the Q2 call.</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No open-market buys; all transactions since Q1 earnings are 10b5-1 planned sales by two insiders — nothing unusual or discretionary. The absence of open-market buying is not a negative signal given the pre-planned nature of all activity.</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Value (Approx.)</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Michael L. Moehn</w:t>
            </w:r>
          </w:p>
        </w:tc>
        <w:tc>
          <w:tcPr>
            <w:tcW w:type="dxa" w:w="1234"/>
          </w:tcPr>
          <w:p>
            <w:r>
              <w:rPr>
                <w:rFonts w:ascii="Calibri" w:hAnsi="Calibri"/>
                <w:sz w:val="22"/>
              </w:rPr>
              <w:t>Group President, Utilities</w:t>
            </w:r>
          </w:p>
        </w:tc>
        <w:tc>
          <w:tcPr>
            <w:tcW w:type="dxa" w:w="1234"/>
          </w:tcPr>
          <w:p>
            <w:r>
              <w:rPr>
                <w:rFonts w:ascii="Calibri" w:hAnsi="Calibri"/>
                <w:sz w:val="22"/>
              </w:rPr>
              <w:t>10b5-1 Planned Sale</w:t>
            </w:r>
          </w:p>
        </w:tc>
        <w:tc>
          <w:tcPr>
            <w:tcW w:type="dxa" w:w="1234"/>
          </w:tcPr>
          <w:p>
            <w:r>
              <w:rPr>
                <w:rFonts w:ascii="Calibri" w:hAnsi="Calibri"/>
                <w:sz w:val="22"/>
              </w:rPr>
              <w:t>6,500</w:t>
            </w:r>
          </w:p>
        </w:tc>
        <w:tc>
          <w:tcPr>
            <w:tcW w:type="dxa" w:w="1234"/>
          </w:tcPr>
          <w:p>
            <w:r>
              <w:rPr>
                <w:rFonts w:ascii="Calibri" w:hAnsi="Calibri"/>
                <w:sz w:val="22"/>
              </w:rPr>
              <w:t>~$720K (est. ~$110.7/sh)</w:t>
            </w:r>
          </w:p>
        </w:tc>
        <w:tc>
          <w:tcPr>
            <w:tcW w:type="dxa" w:w="1234"/>
          </w:tcPr>
          <w:p>
            <w:r>
              <w:rPr>
                <w:rFonts w:ascii="Calibri" w:hAnsi="Calibri"/>
                <w:sz w:val="22"/>
              </w:rPr>
              <w:t>May 1, 2026</w:t>
            </w:r>
          </w:p>
        </w:tc>
        <w:tc>
          <w:tcPr>
            <w:tcW w:type="dxa" w:w="1234"/>
          </w:tcPr>
          <w:p>
            <w:r>
              <w:rPr>
                <w:rFonts w:ascii="Calibri" w:hAnsi="Calibri"/>
                <w:sz w:val="22"/>
              </w:rPr>
              <w:t>Pre-planned 10b5-1 sale; 205,598 shares retained post-transaction. Not discretionary.</w:t>
            </w:r>
          </w:p>
        </w:tc>
      </w:tr>
      <w:tr>
        <w:tc>
          <w:tcPr>
            <w:tcW w:type="dxa" w:w="1234"/>
          </w:tcPr>
          <w:p>
            <w:r>
              <w:rPr>
                <w:rFonts w:ascii="Calibri" w:hAnsi="Calibri"/>
                <w:sz w:val="22"/>
              </w:rPr>
              <w:t>Theresa A. Shaw</w:t>
            </w:r>
          </w:p>
        </w:tc>
        <w:tc>
          <w:tcPr>
            <w:tcW w:type="dxa" w:w="1234"/>
          </w:tcPr>
          <w:p>
            <w:r>
              <w:rPr>
                <w:rFonts w:ascii="Calibri" w:hAnsi="Calibri"/>
                <w:sz w:val="22"/>
              </w:rPr>
              <w:t>SVP and CATO</w:t>
            </w:r>
          </w:p>
        </w:tc>
        <w:tc>
          <w:tcPr>
            <w:tcW w:type="dxa" w:w="1234"/>
          </w:tcPr>
          <w:p>
            <w:r>
              <w:rPr>
                <w:rFonts w:ascii="Calibri" w:hAnsi="Calibri"/>
                <w:sz w:val="22"/>
              </w:rPr>
              <w:t>10b5-1 Planned Sale</w:t>
            </w:r>
          </w:p>
        </w:tc>
        <w:tc>
          <w:tcPr>
            <w:tcW w:type="dxa" w:w="1234"/>
          </w:tcPr>
          <w:p>
            <w:r>
              <w:rPr>
                <w:rFonts w:ascii="Calibri" w:hAnsi="Calibri"/>
                <w:sz w:val="22"/>
              </w:rPr>
              <w:t>1,500</w:t>
            </w:r>
          </w:p>
        </w:tc>
        <w:tc>
          <w:tcPr>
            <w:tcW w:type="dxa" w:w="1234"/>
          </w:tcPr>
          <w:p>
            <w:r>
              <w:rPr>
                <w:rFonts w:ascii="Calibri" w:hAnsi="Calibri"/>
                <w:sz w:val="22"/>
              </w:rPr>
              <w:t>~$165K (est. ~$110/sh)</w:t>
            </w:r>
          </w:p>
        </w:tc>
        <w:tc>
          <w:tcPr>
            <w:tcW w:type="dxa" w:w="1234"/>
          </w:tcPr>
          <w:p>
            <w:r>
              <w:rPr>
                <w:rFonts w:ascii="Calibri" w:hAnsi="Calibri"/>
                <w:sz w:val="22"/>
              </w:rPr>
              <w:t>May 12, 2026</w:t>
            </w:r>
          </w:p>
        </w:tc>
        <w:tc>
          <w:tcPr>
            <w:tcW w:type="dxa" w:w="1234"/>
          </w:tcPr>
          <w:p>
            <w:r>
              <w:rPr>
                <w:rFonts w:ascii="Calibri" w:hAnsi="Calibri"/>
                <w:sz w:val="22"/>
              </w:rPr>
              <w:t>Pre-planned 10b5-1 sale; 32,943 shares retained post-transaction. Not discretionary.</w:t>
            </w:r>
          </w:p>
        </w:tc>
      </w:tr>
      <w:tr>
        <w:tc>
          <w:tcPr>
            <w:tcW w:type="dxa" w:w="1234"/>
          </w:tcPr>
          <w:p>
            <w:r>
              <w:rPr>
                <w:rFonts w:ascii="Calibri" w:hAnsi="Calibri"/>
                <w:sz w:val="22"/>
              </w:rPr>
              <w:t>Theresa A. Shaw</w:t>
            </w:r>
          </w:p>
        </w:tc>
        <w:tc>
          <w:tcPr>
            <w:tcW w:type="dxa" w:w="1234"/>
          </w:tcPr>
          <w:p>
            <w:r>
              <w:rPr>
                <w:rFonts w:ascii="Calibri" w:hAnsi="Calibri"/>
                <w:sz w:val="22"/>
              </w:rPr>
              <w:t>SVP and CATO</w:t>
            </w:r>
          </w:p>
        </w:tc>
        <w:tc>
          <w:tcPr>
            <w:tcW w:type="dxa" w:w="1234"/>
          </w:tcPr>
          <w:p>
            <w:r>
              <w:rPr>
                <w:rFonts w:ascii="Calibri" w:hAnsi="Calibri"/>
                <w:sz w:val="22"/>
              </w:rPr>
              <w:t>10b5-1 Planned Sale</w:t>
            </w:r>
          </w:p>
        </w:tc>
        <w:tc>
          <w:tcPr>
            <w:tcW w:type="dxa" w:w="1234"/>
          </w:tcPr>
          <w:p>
            <w:r>
              <w:rPr>
                <w:rFonts w:ascii="Calibri" w:hAnsi="Calibri"/>
                <w:sz w:val="22"/>
              </w:rPr>
              <w:t>325</w:t>
            </w:r>
          </w:p>
        </w:tc>
        <w:tc>
          <w:tcPr>
            <w:tcW w:type="dxa" w:w="1234"/>
          </w:tcPr>
          <w:p>
            <w:r>
              <w:rPr>
                <w:rFonts w:ascii="Calibri" w:hAnsi="Calibri"/>
                <w:sz w:val="22"/>
              </w:rPr>
              <w:t>~$36K (est. ~$110/sh)</w:t>
            </w:r>
          </w:p>
        </w:tc>
        <w:tc>
          <w:tcPr>
            <w:tcW w:type="dxa" w:w="1234"/>
          </w:tcPr>
          <w:p>
            <w:r>
              <w:rPr>
                <w:rFonts w:ascii="Calibri" w:hAnsi="Calibri"/>
                <w:sz w:val="22"/>
              </w:rPr>
              <w:t>May 14, 2026</w:t>
            </w:r>
          </w:p>
        </w:tc>
        <w:tc>
          <w:tcPr>
            <w:tcW w:type="dxa" w:w="1234"/>
          </w:tcPr>
          <w:p>
            <w:r>
              <w:rPr>
                <w:rFonts w:ascii="Calibri" w:hAnsi="Calibri"/>
                <w:sz w:val="22"/>
              </w:rPr>
              <w:t>Pre-planned 10b5-1 sale; 32,618 shares retained post-transaction. Not discretionary.</w:t>
            </w:r>
          </w:p>
        </w:tc>
      </w:tr>
    </w:tbl>
    <w:p>
      <w:r>
        <w:rPr>
          <w:rFonts w:ascii="Calibri" w:hAnsi="Calibri"/>
          <w:i/>
          <w:color w:val="525866"/>
          <w:sz w:val="22"/>
        </w:rPr>
        <w:t>All transactions are pre-planned 10b5-1 sales executed in early May, shortly after the Q1 earnings release. Both insiders retain substantial positions. No open-market buys or discretionary sales were filed in the period. Source: SEC Form 4 Filings Database.</w:t>
      </w:r>
    </w:p>
    <w:p>
      <w:r>
        <w:br w:type="page"/>
      </w:r>
    </w:p>
    <w:p>
      <w:pPr>
        <w:pStyle w:val="Heading2"/>
      </w:pPr>
      <w:r>
        <w:rPr>
          <w:rFonts w:ascii="Calibri" w:hAnsi="Calibri"/>
          <w:b/>
          <w:color w:val="3B4259"/>
          <w:sz w:val="28"/>
        </w:rPr>
        <w:t>8. Peer Commentaries — Q2 2026 Read-Through for AEE</w:t>
      </w:r>
    </w:p>
    <w:p>
      <w:r>
        <w:rPr>
          <w:rFonts w:ascii="Calibri" w:hAnsi="Calibri"/>
          <w:b/>
          <w:color w:val="525866"/>
          <w:sz w:val="22"/>
        </w:rPr>
        <w:t xml:space="preserve">Key Takeaway: </w:t>
      </w:r>
      <w:r>
        <w:rPr>
          <w:rFonts w:ascii="Calibri" w:hAnsi="Calibri"/>
          <w:color w:val="525866"/>
          <w:sz w:val="22"/>
        </w:rPr>
        <w:t>Peers who have already reported Q2 2026 (DTE, CMS, ETR, NEE, PCG, CNP, FE, WEC) collectively validate AEE’s core thesis: data center demand is accelerating, large load tariff frameworks are being approved and are customer-protective, and regulated utilities with constructive regulatory environments are executing well. The read-through is broadly positive for AEE’s Q2 print and the ESA/IRP narrative.</w:t>
      </w:r>
    </w:p>
    <w:p>
      <w:r>
        <w:rPr>
          <w:rFonts w:ascii="Calibri" w:hAnsi="Calibri"/>
          <w:i/>
          <w:color w:val="525866"/>
          <w:sz w:val="22"/>
        </w:rPr>
        <w:t>Note: Only Q2 2026 earnings calls (reported July 2026) and forward-looking commentary from Q1 2026 peer calls are included. Backward-looking Q1 2026 results commentary from peers is excluded.</w:t>
      </w:r>
    </w:p>
    <w:p>
      <w:pPr>
        <w:pStyle w:val="Heading3"/>
      </w:pPr>
      <w:r>
        <w:rPr>
          <w:rFonts w:ascii="Calibri" w:hAnsi="Calibri"/>
          <w:b/>
          <w:color w:val="3B4259"/>
          <w:sz w:val="24"/>
        </w:rPr>
        <w:t>DTE Energy (DTE) — Q2 2026 Earnings Call (July 28, 2026)</w:t>
      </w:r>
    </w:p>
    <w:p>
      <w:r>
        <w:rPr>
          <w:rFonts w:ascii="Calibri" w:hAnsi="Calibri"/>
          <w:b/>
          <w:i/>
          <w:color w:val="525866"/>
          <w:sz w:val="22"/>
        </w:rPr>
        <w:t>Theme: Data Center Execution &amp; Large Load Tariff Progress</w:t>
      </w:r>
    </w:p>
    <w:p>
      <w:pPr>
        <w:pStyle w:val="ListBullet"/>
        <w:ind w:left="360" w:hanging="360"/>
      </w:pPr>
      <w:r>
        <w:rPr>
          <w:rFonts w:ascii="Calibri" w:hAnsi="Calibri"/>
          <w:color w:val="525866"/>
          <w:sz w:val="22"/>
        </w:rPr>
        <w:t>DTE has 2.4 GW of executed data center agreements (1.4 GW Oracle, 1.0 GW Google). Oracle construction is underway and on track; Google is advancing through MPSC approval (expected September 2026). DTE targets an additional agreement by year-end 2026 from a 5–6 GW pipeline, with ~2 GW in advanced discussions.</w:t>
      </w:r>
    </w:p>
    <w:p>
      <w:pPr>
        <w:pStyle w:val="ListBullet"/>
        <w:ind w:left="360" w:hanging="360"/>
      </w:pPr>
      <w:r>
        <w:rPr>
          <w:rFonts w:ascii="Calibri" w:hAnsi="Calibri"/>
          <w:color w:val="525866"/>
          <w:sz w:val="22"/>
        </w:rPr>
        <w:t>DTE’s large load tariff is moving through the approval process and includes customer protections similar to Oracle/Google contracts. Oracle credit downgrade by S&amp;P (still investment grade) is not expected to impact project completion; contract includes collateral requirements at downgrade triggers.</w:t>
      </w:r>
    </w:p>
    <w:p>
      <w:pPr>
        <w:pStyle w:val="ListBullet"/>
        <w:ind w:left="360" w:hanging="360"/>
      </w:pPr>
      <w:r>
        <w:rPr>
          <w:rFonts w:ascii="Calibri" w:hAnsi="Calibri"/>
          <w:color w:val="525866"/>
          <w:sz w:val="22"/>
        </w:rPr>
        <w:t>DTE is confident in reaching the high end of its 6–8% operating EPS growth guidance for 2026, supported by R&amp;D tax credits, incremental rate relief, and strong non-utility performance.</w:t>
      </w:r>
    </w:p>
    <w:p>
      <w:pPr>
        <w:pStyle w:val="ListBullet"/>
        <w:ind w:left="360" w:hanging="360"/>
      </w:pPr>
      <w:r>
        <w:rPr>
          <w:rFonts w:ascii="Calibri" w:hAnsi="Calibri"/>
          <w:color w:val="525866"/>
          <w:sz w:val="22"/>
        </w:rPr>
        <w:t>IRP to be filed in Q3 2026, covering base case (Oracle + Google) and high-end scenario (full pipeline). Generation transition from coal to gas/renewables is reducing O&amp;M costs.</w:t>
      </w:r>
    </w:p>
    <w:p>
      <w:r>
        <w:rPr>
          <w:rFonts w:ascii="Calibri" w:hAnsi="Calibri"/>
          <w:b/>
          <w:color w:val="525866"/>
          <w:sz w:val="22"/>
        </w:rPr>
        <w:t xml:space="preserve">AEE Read-Through: </w:t>
      </w:r>
      <w:r>
        <w:rPr>
          <w:rFonts w:ascii="Calibri" w:hAnsi="Calibri"/>
          <w:i/>
          <w:color w:val="525866"/>
          <w:sz w:val="22"/>
        </w:rPr>
        <w:t>Highly positive. DTE’s execution on large load agreements and tariff approval process mirrors AEE’s trajectory. The Oracle credit downgrade commentary (collateral protections in place) is directly relevant to AEE’s ESA framework — investors may ask AEE similar questions. DTE’s IRP filing in Q3 sets a precedent for AEE’s September IRP update.</w:t>
      </w:r>
    </w:p>
    <w:p>
      <w:pPr>
        <w:pStyle w:val="Heading3"/>
      </w:pPr>
      <w:r>
        <w:rPr>
          <w:rFonts w:ascii="Calibri" w:hAnsi="Calibri"/>
          <w:b/>
          <w:color w:val="3B4259"/>
          <w:sz w:val="24"/>
        </w:rPr>
        <w:t>CMS Energy (CMS) — Q2 2026 Earnings Call (July 28, 2026)</w:t>
      </w:r>
    </w:p>
    <w:p>
      <w:r>
        <w:rPr>
          <w:rFonts w:ascii="Calibri" w:hAnsi="Calibri"/>
          <w:b/>
          <w:i/>
          <w:color w:val="525866"/>
          <w:sz w:val="22"/>
        </w:rPr>
        <w:t>Theme: Large Load Tariff Approval &amp; Midwest Data Center Demand</w:t>
      </w:r>
    </w:p>
    <w:p>
      <w:pPr>
        <w:pStyle w:val="ListBullet"/>
        <w:ind w:left="360" w:hanging="360"/>
      </w:pPr>
      <w:r>
        <w:rPr>
          <w:rFonts w:ascii="Calibri" w:hAnsi="Calibri"/>
          <w:color w:val="525866"/>
          <w:sz w:val="22"/>
        </w:rPr>
        <w:t>CMS reached its first agreement under its large load tariff in Q2 2026, including both an Extraordinary Facilities Agreement and a rate agreement. CMS describes having “one of the most constructive frameworks in the country for data center growth.” The tariff ensures new large load customers bear all costs to serve them, with every gigawatt of new large load providing ~$7.50/month of bill benefit to residential customers.</w:t>
      </w:r>
    </w:p>
    <w:p>
      <w:pPr>
        <w:pStyle w:val="ListBullet"/>
        <w:ind w:left="360" w:hanging="360"/>
      </w:pPr>
      <w:r>
        <w:rPr>
          <w:rFonts w:ascii="Calibri" w:hAnsi="Calibri"/>
          <w:color w:val="525866"/>
          <w:sz w:val="22"/>
        </w:rPr>
        <w:t>CMS is reaffirming full-year 2026 guidance of $3.83–$3.90/share and introducing 2027 guidance of $4.17/share (6–8% CAGR). The company is exiting non-utility renewables (North Star restructuring) to focus capital on the regulated utility, reducing equity needs by over $500M through 2030.</w:t>
      </w:r>
    </w:p>
    <w:p>
      <w:pPr>
        <w:pStyle w:val="ListBullet"/>
        <w:ind w:left="360" w:hanging="360"/>
      </w:pPr>
      <w:r>
        <w:rPr>
          <w:rFonts w:ascii="Calibri" w:hAnsi="Calibri"/>
          <w:color w:val="525866"/>
          <w:sz w:val="22"/>
        </w:rPr>
        <w:t>IRP filing moved to September 2026 to incorporate the new data center agreement. Current capital plan does not yet reflect this load growth — indicating potential upside. CMS expects 2–3% sales growth and 10.5% rate base CAGR.</w:t>
      </w:r>
    </w:p>
    <w:p>
      <w:pPr>
        <w:pStyle w:val="ListBullet"/>
        <w:ind w:left="360" w:hanging="360"/>
      </w:pPr>
      <w:r>
        <w:rPr>
          <w:rFonts w:ascii="Calibri" w:hAnsi="Calibri"/>
          <w:color w:val="525866"/>
          <w:sz w:val="22"/>
        </w:rPr>
        <w:t>Electric rate case filed in June 2026: $456M revenue increase, 10.25% ROE, 51.75% equity ratio. Gas rate case revised to $232M.</w:t>
      </w:r>
    </w:p>
    <w:p>
      <w:r>
        <w:rPr>
          <w:rFonts w:ascii="Calibri" w:hAnsi="Calibri"/>
          <w:b/>
          <w:color w:val="525866"/>
          <w:sz w:val="22"/>
        </w:rPr>
        <w:t xml:space="preserve">AEE Read-Through: </w:t>
      </w:r>
      <w:r>
        <w:rPr>
          <w:rFonts w:ascii="Calibri" w:hAnsi="Calibri"/>
          <w:i/>
          <w:color w:val="525866"/>
          <w:sz w:val="22"/>
        </w:rPr>
        <w:t>Directly relevant. CMS’s first large load tariff agreement in Michigan validates the Midwest regulatory framework for data center growth. The September IRP filing timing mirrors AEE’s own IRP update schedule. CMS’s 10.25% ROE request in its rate case is consistent with AEE’s Missouri filing, suggesting regulatory alignment on allowed returns in the region.</w:t>
      </w:r>
    </w:p>
    <w:p>
      <w:pPr>
        <w:pStyle w:val="Heading3"/>
      </w:pPr>
      <w:r>
        <w:rPr>
          <w:rFonts w:ascii="Calibri" w:hAnsi="Calibri"/>
          <w:b/>
          <w:color w:val="3B4259"/>
          <w:sz w:val="24"/>
        </w:rPr>
        <w:t>Entergy (ETR) — Q2 2026 Earnings Call (July 29, 2026)</w:t>
      </w:r>
    </w:p>
    <w:p>
      <w:r>
        <w:rPr>
          <w:rFonts w:ascii="Calibri" w:hAnsi="Calibri"/>
          <w:b/>
          <w:i/>
          <w:color w:val="525866"/>
          <w:sz w:val="22"/>
        </w:rPr>
        <w:t>Theme: Data Center Pipeline Momentum &amp; Customer Protections</w:t>
      </w:r>
    </w:p>
    <w:p>
      <w:pPr>
        <w:pStyle w:val="ListBullet"/>
        <w:ind w:left="360" w:hanging="360"/>
      </w:pPr>
      <w:r>
        <w:rPr>
          <w:rFonts w:ascii="Calibri" w:hAnsi="Calibri"/>
          <w:color w:val="525866"/>
          <w:sz w:val="22"/>
        </w:rPr>
        <w:t>ETR reported Q2 2026 adjusted EPS of $1.03, slightly below prior year due to weather normalization (2026 closer to normal vs. warmer 2025). Excluding weather, retail sales growth was positive, driven by 10% industrial sales growth from new and expansion projects ramping up.</w:t>
      </w:r>
    </w:p>
    <w:p>
      <w:pPr>
        <w:pStyle w:val="ListBullet"/>
        <w:ind w:left="360" w:hanging="360"/>
      </w:pPr>
      <w:r>
        <w:rPr>
          <w:rFonts w:ascii="Calibri" w:hAnsi="Calibri"/>
          <w:color w:val="525866"/>
          <w:sz w:val="22"/>
        </w:rPr>
        <w:t>ETR maintains a 7–12 GW hyperscale data center pipeline and 3–5 GW of traditional industrial interest. The technology sector is the largest demand growth contributor in ETR’s five-year plan. Louisiana Governor signed an executive order in late June requiring data centers to provide customer benefits, invest in grid resilience, and maintain transparency — consistent with ETR’s “Fair Share Plus” pledge.</w:t>
      </w:r>
    </w:p>
    <w:p>
      <w:pPr>
        <w:pStyle w:val="ListBullet"/>
        <w:ind w:left="360" w:hanging="360"/>
      </w:pPr>
      <w:r>
        <w:rPr>
          <w:rFonts w:ascii="Calibri" w:hAnsi="Calibri"/>
          <w:color w:val="525866"/>
          <w:sz w:val="22"/>
        </w:rPr>
        <w:t>ETR’s credit metrics remain above rating agency thresholds (FFO/debt at or above 15% throughout the outlook period). ETR completed a $2.175B equity forward offering in May 2026; ~60% of its five-year equity plan is contracted.</w:t>
      </w:r>
    </w:p>
    <w:p>
      <w:pPr>
        <w:pStyle w:val="ListBullet"/>
        <w:ind w:left="360" w:hanging="360"/>
      </w:pPr>
      <w:r>
        <w:rPr>
          <w:rFonts w:ascii="Calibri" w:hAnsi="Calibri"/>
          <w:color w:val="525866"/>
          <w:sz w:val="22"/>
        </w:rPr>
        <w:t>ETR expects the majority of year-over-year earnings increase to come in Q4 2026 due to flex spending. Q3 O&amp;M expected to be $0.05–$0.10 higher than Q3 2025.</w:t>
      </w:r>
    </w:p>
    <w:p>
      <w:r>
        <w:rPr>
          <w:rFonts w:ascii="Calibri" w:hAnsi="Calibri"/>
          <w:b/>
          <w:color w:val="525866"/>
          <w:sz w:val="22"/>
        </w:rPr>
        <w:t xml:space="preserve">AEE Read-Through: </w:t>
      </w:r>
      <w:r>
        <w:rPr>
          <w:rFonts w:ascii="Calibri" w:hAnsi="Calibri"/>
          <w:i/>
          <w:color w:val="525866"/>
          <w:sz w:val="22"/>
        </w:rPr>
        <w:t>Positive on data center demand trajectory and customer protection frameworks. ETR’s weather normalization headwind in Q2 (warmer 2025 vs. normal 2026) is the same dynamic AEE faces in Missouri — validates the weather headwind narrative already embedded in AEE’s Q2 consensus. ETR’s FFO/debt guidance of ≥15% is the same Moody’s threshold AEE targets, providing a useful benchmark.</w:t>
      </w:r>
    </w:p>
    <w:p>
      <w:pPr>
        <w:pStyle w:val="Heading3"/>
      </w:pPr>
      <w:r>
        <w:rPr>
          <w:rFonts w:ascii="Calibri" w:hAnsi="Calibri"/>
          <w:b/>
          <w:color w:val="3B4259"/>
          <w:sz w:val="24"/>
        </w:rPr>
        <w:t>NextEra Energy (NEE) — Q2 2026 Earnings Call (July 24, 2026)</w:t>
      </w:r>
    </w:p>
    <w:p>
      <w:r>
        <w:rPr>
          <w:rFonts w:ascii="Calibri" w:hAnsi="Calibri"/>
          <w:b/>
          <w:i/>
          <w:color w:val="525866"/>
          <w:sz w:val="22"/>
        </w:rPr>
        <w:t>Theme: Accelerating Large Load Demand &amp; Generation Supply Chain</w:t>
      </w:r>
    </w:p>
    <w:p>
      <w:pPr>
        <w:pStyle w:val="ListBullet"/>
        <w:ind w:left="360" w:hanging="360"/>
      </w:pPr>
      <w:r>
        <w:rPr>
          <w:rFonts w:ascii="Calibri" w:hAnsi="Calibri"/>
          <w:color w:val="525866"/>
          <w:sz w:val="22"/>
        </w:rPr>
        <w:t>NEE reported Q2 2026 adjusted EPS of $1.15, up 9.8% YoY. FPL updated its large load expectations from 6 GW to 8 GW by 2032. FPL has ~21 GW of large load interest, with 12 GW in advanced discussions. NEE expects to announce at least one large load transaction under its tariff by year-end 2026.</w:t>
      </w:r>
    </w:p>
    <w:p>
      <w:pPr>
        <w:pStyle w:val="ListBullet"/>
        <w:ind w:left="360" w:hanging="360"/>
      </w:pPr>
      <w:r>
        <w:rPr>
          <w:rFonts w:ascii="Calibri" w:hAnsi="Calibri"/>
          <w:color w:val="525866"/>
          <w:sz w:val="22"/>
        </w:rPr>
        <w:t>Energy Resources added 3.6 GW of renewables and storage to its backlog in Q2 (second-largest quarter ever). Battery storage represented 2 GW of additions. Total backlog now ~35.1 GW. NEE has secured solar panels through 2029, battery storage through 2029, and wind sites through 2029.</w:t>
      </w:r>
    </w:p>
    <w:p>
      <w:pPr>
        <w:pStyle w:val="ListBullet"/>
        <w:ind w:left="360" w:hanging="360"/>
      </w:pPr>
      <w:r>
        <w:rPr>
          <w:rFonts w:ascii="Calibri" w:hAnsi="Calibri"/>
          <w:color w:val="525866"/>
          <w:sz w:val="22"/>
        </w:rPr>
        <w:t>NEE’s S4 filing indicates adjusted EBITDA at Energy Resources is ~$4B higher in 2032 than anticipated at the December investor conference, driven by better originations on renewables and storage. FPL’s large load expectations increased from 6 GW to 8 GW.</w:t>
      </w:r>
    </w:p>
    <w:p>
      <w:pPr>
        <w:pStyle w:val="ListBullet"/>
        <w:ind w:left="360" w:hanging="360"/>
      </w:pPr>
      <w:r>
        <w:rPr>
          <w:rFonts w:ascii="Calibri" w:hAnsi="Calibri"/>
          <w:color w:val="525866"/>
          <w:sz w:val="22"/>
        </w:rPr>
        <w:t>FERC’s Section 206 show cause orders (announced June 2026) are expected to “create yet another market shift and generate strong demand for the ability to match load with generation.”</w:t>
      </w:r>
    </w:p>
    <w:p>
      <w:r>
        <w:rPr>
          <w:rFonts w:ascii="Calibri" w:hAnsi="Calibri"/>
          <w:b/>
          <w:color w:val="525866"/>
          <w:sz w:val="22"/>
        </w:rPr>
        <w:t xml:space="preserve">AEE Read-Through: </w:t>
      </w:r>
      <w:r>
        <w:rPr>
          <w:rFonts w:ascii="Calibri" w:hAnsi="Calibri"/>
          <w:i/>
          <w:color w:val="525866"/>
          <w:sz w:val="22"/>
        </w:rPr>
        <w:t>Broadly positive on the macro demand backdrop. NEE’s supply chain security (panels, storage, wind through 2029) is relevant context for AEE’s generation procurement strategy. The FERC Section 206 show cause orders could create additional tailwinds for utilities with behind-the-meter or co-location generation strategies. NEE’s large load tariff codification into Florida law is a positive precedent for AEE’s Missouri large load tariff framework.</w:t>
      </w:r>
    </w:p>
    <w:p>
      <w:pPr>
        <w:pStyle w:val="Heading3"/>
      </w:pPr>
      <w:r>
        <w:rPr>
          <w:rFonts w:ascii="Calibri" w:hAnsi="Calibri"/>
          <w:b/>
          <w:color w:val="3B4259"/>
          <w:sz w:val="24"/>
        </w:rPr>
        <w:t>PG&amp;E Corporation (PCG) — Q2 2026 Earnings Call (July 23, 2026)</w:t>
      </w:r>
    </w:p>
    <w:p>
      <w:r>
        <w:rPr>
          <w:rFonts w:ascii="Calibri" w:hAnsi="Calibri"/>
          <w:b/>
          <w:i/>
          <w:color w:val="525866"/>
          <w:sz w:val="22"/>
        </w:rPr>
        <w:t>Theme: Data Center Pipeline Quality &amp; Tariff Framework Design</w:t>
      </w:r>
    </w:p>
    <w:p>
      <w:pPr>
        <w:pStyle w:val="ListBullet"/>
        <w:ind w:left="360" w:hanging="360"/>
      </w:pPr>
      <w:r>
        <w:rPr>
          <w:rFonts w:ascii="Calibri" w:hAnsi="Calibri"/>
          <w:color w:val="525866"/>
          <w:sz w:val="22"/>
        </w:rPr>
        <w:t>PCG reported Q2 2026 core EPS of $0.40; H1 2026 core EPS of $0.83. Reaffirmed full-year 2026 core EPS guidance of $1.64–$1.66 (midpoint +10% vs. 2025). Data center pipeline now exceeds 12 GW (up from 10 GW+ pre-application interest from 2026 cluster study). PCG expects ~1.8 GW to be online by 2030.</w:t>
      </w:r>
    </w:p>
    <w:p>
      <w:pPr>
        <w:pStyle w:val="ListBullet"/>
        <w:ind w:left="360" w:hanging="360"/>
      </w:pPr>
      <w:r>
        <w:rPr>
          <w:rFonts w:ascii="Calibri" w:hAnsi="Calibri"/>
          <w:color w:val="525866"/>
          <w:sz w:val="22"/>
        </w:rPr>
        <w:t>PCG refined its pipeline categorization, raising the threshold for inclusion in final engineering to require an assigned work performance agreement and ~10% financial commitment. This quality-over-quantity approach is designed to ensure projects are real and committed.</w:t>
      </w:r>
    </w:p>
    <w:p>
      <w:pPr>
        <w:pStyle w:val="ListBullet"/>
        <w:ind w:left="360" w:hanging="360"/>
      </w:pPr>
      <w:r>
        <w:rPr>
          <w:rFonts w:ascii="Calibri" w:hAnsi="Calibri"/>
          <w:color w:val="525866"/>
          <w:sz w:val="22"/>
        </w:rPr>
        <w:t>PCG is focused on pricing large load “correctly” — attractive to data center customers but rate-reducing for existing customers. FERC’s recent order to show cause is viewed as a positive step toward national standards.</w:t>
      </w:r>
    </w:p>
    <w:p>
      <w:pPr>
        <w:pStyle w:val="ListBullet"/>
        <w:ind w:left="360" w:hanging="360"/>
      </w:pPr>
      <w:r>
        <w:rPr>
          <w:rFonts w:ascii="Calibri" w:hAnsi="Calibri"/>
          <w:color w:val="525866"/>
          <w:sz w:val="22"/>
        </w:rPr>
        <w:t>$73B capital plan through 2030 unchanged; equity needs fully satisfied through 2030. Five-year financing plan unchanged.</w:t>
      </w:r>
    </w:p>
    <w:p>
      <w:r>
        <w:rPr>
          <w:rFonts w:ascii="Calibri" w:hAnsi="Calibri"/>
          <w:b/>
          <w:color w:val="525866"/>
          <w:sz w:val="22"/>
        </w:rPr>
        <w:t xml:space="preserve">AEE Read-Through: </w:t>
      </w:r>
      <w:r>
        <w:rPr>
          <w:rFonts w:ascii="Calibri" w:hAnsi="Calibri"/>
          <w:i/>
          <w:color w:val="525866"/>
          <w:sz w:val="22"/>
        </w:rPr>
        <w:t>PCG’s pipeline quality framework (requiring financial commitments for inclusion in final engineering) is directly relevant to AEE’s ESA structure — AEE’s construction agreements with nonrefundable deposits are analogous. PCG’s emphasis on rate-reducing large load is consistent with AEE’s Senate Bill 4 tariff framework. The FERC show cause order commentary is a positive macro read-through for all utilities with large load strategies.</w:t>
      </w:r>
    </w:p>
    <w:p>
      <w:pPr>
        <w:pStyle w:val="Heading3"/>
      </w:pPr>
      <w:r>
        <w:rPr>
          <w:rFonts w:ascii="Calibri" w:hAnsi="Calibri"/>
          <w:b/>
          <w:color w:val="3B4259"/>
          <w:sz w:val="24"/>
        </w:rPr>
        <w:t>CenterPoint Energy (CNP) — Q2 2026 Earnings Call (July 28, 2026)</w:t>
      </w:r>
    </w:p>
    <w:p>
      <w:r>
        <w:rPr>
          <w:rFonts w:ascii="Calibri" w:hAnsi="Calibri"/>
          <w:b/>
          <w:i/>
          <w:color w:val="525866"/>
          <w:sz w:val="22"/>
        </w:rPr>
        <w:t>Theme: Large Load Demand Surge &amp; Capital Plan Expansion</w:t>
      </w:r>
    </w:p>
    <w:p>
      <w:pPr>
        <w:pStyle w:val="ListBullet"/>
        <w:ind w:left="360" w:hanging="360"/>
      </w:pPr>
      <w:r>
        <w:rPr>
          <w:rFonts w:ascii="Calibri" w:hAnsi="Calibri"/>
          <w:color w:val="525866"/>
          <w:sz w:val="22"/>
        </w:rPr>
        <w:t>CNP reported Q2 2026 non-GAAP EPS of $0.40; reaffirmed FY 2026 guidance of $1.89–$1.91 (midpoint +8% YoY). CNP announced a $1.2B increase to its capital investment plan, driven by $800M for system upgrades to support 14 GW of batch zero eligible large load projects in Texas and $400M for the Downtown Houston Revitalization Project.</w:t>
      </w:r>
    </w:p>
    <w:p>
      <w:pPr>
        <w:pStyle w:val="ListBullet"/>
        <w:ind w:left="360" w:hanging="360"/>
      </w:pPr>
      <w:r>
        <w:rPr>
          <w:rFonts w:ascii="Calibri" w:hAnsi="Calibri"/>
          <w:color w:val="525866"/>
          <w:sz w:val="22"/>
        </w:rPr>
        <w:t>CNP submitted more than 17 GW of large load projects through ERCOT’s new batch zero process; 14 GW expected to be eligible. Residential and commercial customers estimated to save over $5B over the next decade from the addition of 14 GW of eligible projects. CNP expects ~$6M/month/GW of cash flow from demand charges as load energizes.</w:t>
      </w:r>
    </w:p>
    <w:p>
      <w:pPr>
        <w:pStyle w:val="ListBullet"/>
        <w:ind w:left="360" w:hanging="360"/>
      </w:pPr>
      <w:r>
        <w:rPr>
          <w:rFonts w:ascii="Calibri" w:hAnsi="Calibri"/>
          <w:color w:val="525866"/>
          <w:sz w:val="22"/>
        </w:rPr>
        <w:t>CNP recovers ~85% of investments through capital trackers. Houston electric rate base category expected to grow over 18% over the next three years. Incremental capital funded without additional equity issuance.</w:t>
      </w:r>
    </w:p>
    <w:p>
      <w:pPr>
        <w:pStyle w:val="ListBullet"/>
        <w:ind w:left="360" w:hanging="360"/>
      </w:pPr>
      <w:r>
        <w:rPr>
          <w:rFonts w:ascii="Calibri" w:hAnsi="Calibri"/>
          <w:color w:val="525866"/>
          <w:sz w:val="22"/>
        </w:rPr>
        <w:t>Indiana large load opportunity: one project would be the single largest load served in that region; work already begun due to customer commitments. If demand exceeds 1.5 GW, a Genco structure may be pursued.</w:t>
      </w:r>
    </w:p>
    <w:p>
      <w:r>
        <w:rPr>
          <w:rFonts w:ascii="Calibri" w:hAnsi="Calibri"/>
          <w:b/>
          <w:color w:val="525866"/>
          <w:sz w:val="22"/>
        </w:rPr>
        <w:t xml:space="preserve">AEE Read-Through: </w:t>
      </w:r>
      <w:r>
        <w:rPr>
          <w:rFonts w:ascii="Calibri" w:hAnsi="Calibri"/>
          <w:i/>
          <w:color w:val="525866"/>
          <w:sz w:val="22"/>
        </w:rPr>
        <w:t>CNP’s $1.2B capital plan increase without additional equity is a positive read-through for AEE’s ability to fund incremental ESA-related generation CapEx (which is expected to be additive to the base plan and borne by large load customers). The customer savings narrative ($5B over a decade from 14 GW) mirrors AEE’s Senate Bill 4 framework. CNP’s Indiana large load development is geographically adjacent to AEE’s Illinois service territory.</w:t>
      </w:r>
    </w:p>
    <w:p>
      <w:pPr>
        <w:pStyle w:val="Heading3"/>
      </w:pPr>
      <w:r>
        <w:rPr>
          <w:rFonts w:ascii="Calibri" w:hAnsi="Calibri"/>
          <w:b/>
          <w:color w:val="3B4259"/>
          <w:sz w:val="24"/>
        </w:rPr>
        <w:t>FirstEnergy (FE) — Q2 2026 Earnings Call (July 29, 2026)</w:t>
      </w:r>
    </w:p>
    <w:p>
      <w:r>
        <w:rPr>
          <w:rFonts w:ascii="Calibri" w:hAnsi="Calibri"/>
          <w:b/>
          <w:i/>
          <w:color w:val="525866"/>
          <w:sz w:val="22"/>
        </w:rPr>
        <w:t>Theme: Data Center Demand Acceleration &amp; Generation Investment Opportunity</w:t>
      </w:r>
    </w:p>
    <w:p>
      <w:pPr>
        <w:pStyle w:val="ListBullet"/>
        <w:ind w:left="360" w:hanging="360"/>
      </w:pPr>
      <w:r>
        <w:rPr>
          <w:rFonts w:ascii="Calibri" w:hAnsi="Calibri"/>
          <w:color w:val="525866"/>
          <w:sz w:val="22"/>
        </w:rPr>
        <w:t>FE reported Q2 2026 core EPS of $0.50 (in line with plan). Reaffirmed FY 2026 core EPS guidance of $2.62–$2.82 and $36B five-year capital plan. Total forecasted data center demand increased 30% since Q1 to ~25 GW. FE contracted an additional 2.1 GW in Q2 alone, bringing total contracted demand to 6.4 GW; expects an additional 1.5 GW to enter contracts in the next few weeks.</w:t>
      </w:r>
    </w:p>
    <w:p>
      <w:pPr>
        <w:pStyle w:val="ListBullet"/>
        <w:ind w:left="360" w:hanging="360"/>
      </w:pPr>
      <w:r>
        <w:rPr>
          <w:rFonts w:ascii="Calibri" w:hAnsi="Calibri"/>
          <w:color w:val="525866"/>
          <w:sz w:val="22"/>
        </w:rPr>
        <w:t>FE is making significant progress toward approval of the 1.2 GW Maysville Energy Center in West Virginia (CPCN hearings completed; resolution expected this fall). FE views Maysville as “the beginning of a broader generation investment opportunity in West Virginia.” For every GW of capacity added, average investment is ~$250M.</w:t>
      </w:r>
    </w:p>
    <w:p>
      <w:pPr>
        <w:pStyle w:val="ListBullet"/>
        <w:ind w:left="360" w:hanging="360"/>
      </w:pPr>
      <w:r>
        <w:rPr>
          <w:rFonts w:ascii="Calibri" w:hAnsi="Calibri"/>
          <w:color w:val="525866"/>
          <w:sz w:val="22"/>
        </w:rPr>
        <w:t>FE’s transmission business has a 16% CAGR through 2030 in the current plan. FE plans to participate in the 2026 PJM Open Window process (opened last week; awards scheduled Q1 2027). FE has secured ~$5B of opportunities in prior open windows.</w:t>
      </w:r>
    </w:p>
    <w:p>
      <w:pPr>
        <w:pStyle w:val="ListBullet"/>
        <w:ind w:left="360" w:hanging="360"/>
      </w:pPr>
      <w:r>
        <w:rPr>
          <w:rFonts w:ascii="Calibri" w:hAnsi="Calibri"/>
          <w:color w:val="525866"/>
          <w:sz w:val="22"/>
        </w:rPr>
        <w:t>Industrial load increased over 4% in Q2 on a weather-adjusted basis, driven by metals, oil and gas, and chemicals — reflecting AI and data center infrastructure build-out tailwinds.</w:t>
      </w:r>
    </w:p>
    <w:p>
      <w:r>
        <w:rPr>
          <w:rFonts w:ascii="Calibri" w:hAnsi="Calibri"/>
          <w:b/>
          <w:color w:val="525866"/>
          <w:sz w:val="22"/>
        </w:rPr>
        <w:t xml:space="preserve">AEE Read-Through: </w:t>
      </w:r>
      <w:r>
        <w:rPr>
          <w:rFonts w:ascii="Calibri" w:hAnsi="Calibri"/>
          <w:i/>
          <w:color w:val="525866"/>
          <w:sz w:val="22"/>
        </w:rPr>
        <w:t>FE’s 30% increase in forecasted data center demand since Q1 is a strong macro read-through for AEE’s ESA pipeline. The generation investment framework ($250M/GW) provides a useful benchmark for AEE’s own generation CapEx associated with ESAs. FE’s CPCN process for Maysville is analogous to AEE’s Certificate of Need filings for ~3 GW of new generation (expected by Q3 2026). The PJM transmission opportunity is relevant to AEE’s MISO transmission participation.</w:t>
      </w:r>
    </w:p>
    <w:p>
      <w:pPr>
        <w:pStyle w:val="Heading3"/>
      </w:pPr>
      <w:r>
        <w:rPr>
          <w:rFonts w:ascii="Calibri" w:hAnsi="Calibri"/>
          <w:b/>
          <w:color w:val="3B4259"/>
          <w:sz w:val="24"/>
        </w:rPr>
        <w:t>WEC Energy Group (WEC) — Q2 2026 Earnings Call (July 29, 2026)</w:t>
      </w:r>
    </w:p>
    <w:p>
      <w:r>
        <w:rPr>
          <w:rFonts w:ascii="Calibri" w:hAnsi="Calibri"/>
          <w:b/>
          <w:i/>
          <w:color w:val="525866"/>
          <w:sz w:val="22"/>
        </w:rPr>
        <w:t>Theme: Very Large Customer (VLC) Tariff Execution &amp; Midwest Data Center Build-Out</w:t>
      </w:r>
    </w:p>
    <w:p>
      <w:pPr>
        <w:pStyle w:val="ListBullet"/>
        <w:ind w:left="360" w:hanging="360"/>
      </w:pPr>
      <w:r>
        <w:rPr>
          <w:rFonts w:ascii="Calibri" w:hAnsi="Calibri"/>
          <w:color w:val="525866"/>
          <w:sz w:val="22"/>
        </w:rPr>
        <w:t>WEC reported Q2 2026 EPS of $0.91, up $0.15 vs. Q2 2025. On track for FY 2026 guidance of $5.51–$5.61. Weather-normalized electric retail sales grew 4.2% in Q2, driven by VLC customers (Microsoft, Oracle/Vantage). Excluding VLCs, sales grew 1.2%.</w:t>
      </w:r>
    </w:p>
    <w:p>
      <w:pPr>
        <w:pStyle w:val="ListBullet"/>
        <w:ind w:left="360" w:hanging="360"/>
      </w:pPr>
      <w:r>
        <w:rPr>
          <w:rFonts w:ascii="Calibri" w:hAnsi="Calibri"/>
          <w:color w:val="525866"/>
          <w:sz w:val="22"/>
        </w:rPr>
        <w:t>Microsoft’s first data center facility in Pleasant Prairie is fully operational; WEC is preparing to serve 2.6 GW of forecasted demand in the I-94 corridor through 2030. Vantage/Oracle site (1.3 GW in 5-year forecast; potential 3.5 GW over time) is under construction. WEC is in discussions with additional potential VLCs in the 400–500 MW size range.</w:t>
      </w:r>
    </w:p>
    <w:p>
      <w:pPr>
        <w:pStyle w:val="ListBullet"/>
        <w:ind w:left="360" w:hanging="360"/>
      </w:pPr>
      <w:r>
        <w:rPr>
          <w:rFonts w:ascii="Calibri" w:hAnsi="Calibri"/>
          <w:color w:val="525866"/>
          <w:sz w:val="22"/>
        </w:rPr>
        <w:t>WEC’s VLC tariff (written order received May 2026) requires VLCs to pay their full share of costs. Oracle is working to update financial security in line with tariff requirements; Oracle has stated it remains committed to the project. WEC’s tariff requires A-minus credit rating; Oracle brought a court case regarding the credit requirement (expected to take time to resolve).</w:t>
      </w:r>
    </w:p>
    <w:p>
      <w:pPr>
        <w:pStyle w:val="ListBullet"/>
        <w:ind w:left="360" w:hanging="360"/>
      </w:pPr>
      <w:r>
        <w:rPr>
          <w:rFonts w:ascii="Calibri" w:hAnsi="Calibri"/>
          <w:color w:val="525866"/>
          <w:sz w:val="22"/>
        </w:rPr>
        <w:t>WEC is updating its next capital plan (details on Q3 call). Current 5-year plan is $37.5B. WEC locked in ~$760M of common equity in H1 2026 via ATM. Expects ~$1.1B of equity issuance in 2026 total. Long-term EPS growth of 7–8% CAGR through 2030, accelerating to upper half of range starting 2028.</w:t>
      </w:r>
    </w:p>
    <w:p>
      <w:r>
        <w:rPr>
          <w:rFonts w:ascii="Calibri" w:hAnsi="Calibri"/>
          <w:b/>
          <w:color w:val="525866"/>
          <w:sz w:val="22"/>
        </w:rPr>
        <w:t xml:space="preserve">AEE Read-Through: </w:t>
      </w:r>
      <w:r>
        <w:rPr>
          <w:rFonts w:ascii="Calibri" w:hAnsi="Calibri"/>
          <w:i/>
          <w:color w:val="525866"/>
          <w:sz w:val="22"/>
        </w:rPr>
        <w:t>WEC’s VLC tariff execution in Wisconsin is the closest geographic and structural analog to AEE’s Missouri large load tariff. The Oracle credit/collateral issue at WEC (A-minus requirement, court case) is a potential question for AEE investors regarding its own ESA counterparty credit protections — AEE should be prepared to address this. WEC’s 4.2% weather-normalized sales growth driven by VLCs is a strong read-through for AEE’s 6.2% CAGR sales growth assumption. WEC’s capital plan update on Q3 call is a precedent for AEE’s September IRP update.</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Key Theme Relevant to AEE</w:t>
            </w:r>
          </w:p>
        </w:tc>
        <w:tc>
          <w:tcPr>
            <w:tcW w:type="dxa" w:w="1728"/>
            <w:shd w:val="clear" w:color="auto" w:fill="3B4259"/>
          </w:tcPr>
          <w:p>
            <w:r>
              <w:rPr>
                <w:rFonts w:ascii="Calibri" w:hAnsi="Calibri"/>
                <w:b/>
                <w:color w:val="FFFFFF"/>
                <w:sz w:val="22"/>
              </w:rPr>
              <w:t>AEE Read-Through Signal</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DTE Energy</w:t>
            </w:r>
          </w:p>
        </w:tc>
        <w:tc>
          <w:tcPr>
            <w:tcW w:type="dxa" w:w="1728"/>
          </w:tcPr>
          <w:p>
            <w:r>
              <w:rPr>
                <w:rFonts w:ascii="Calibri" w:hAnsi="Calibri"/>
                <w:sz w:val="22"/>
              </w:rPr>
              <w:t>Jul 28, 2026</w:t>
            </w:r>
          </w:p>
        </w:tc>
        <w:tc>
          <w:tcPr>
            <w:tcW w:type="dxa" w:w="1728"/>
          </w:tcPr>
          <w:p>
            <w:r>
              <w:rPr>
                <w:rFonts w:ascii="Calibri" w:hAnsi="Calibri"/>
                <w:sz w:val="22"/>
              </w:rPr>
              <w:t>2.4 GW executed; Oracle on track; Google MPSC approval Sept; IRP in Q3; large load tariff advancing</w:t>
            </w:r>
          </w:p>
        </w:tc>
        <w:tc>
          <w:tcPr>
            <w:tcW w:type="dxa" w:w="1728"/>
          </w:tcPr>
          <w:p>
            <w:r>
              <w:rPr>
                <w:rFonts w:ascii="Calibri" w:hAnsi="Calibri"/>
                <w:b/>
                <w:color w:val="30A46C"/>
                <w:sz w:val="22"/>
              </w:rPr>
              <w:t>Validates AEE’s ESA execution framework; IRP timing precedent; Oracle credit downgrade Q&amp;A preview</w:t>
            </w:r>
          </w:p>
        </w:tc>
        <w:tc>
          <w:tcPr>
            <w:tcW w:type="dxa" w:w="1728"/>
          </w:tcPr>
          <w:p>
            <w:r>
              <w:rPr>
                <w:rFonts w:ascii="Calibri" w:hAnsi="Calibri"/>
                <w:b/>
                <w:color w:val="30A46C"/>
                <w:sz w:val="22"/>
              </w:rPr>
              <w:t>Positive</w:t>
            </w:r>
          </w:p>
        </w:tc>
      </w:tr>
      <w:tr>
        <w:tc>
          <w:tcPr>
            <w:tcW w:type="dxa" w:w="1728"/>
          </w:tcPr>
          <w:p>
            <w:r>
              <w:rPr>
                <w:rFonts w:ascii="Calibri" w:hAnsi="Calibri"/>
                <w:sz w:val="22"/>
              </w:rPr>
              <w:t>CMS Energy</w:t>
            </w:r>
          </w:p>
        </w:tc>
        <w:tc>
          <w:tcPr>
            <w:tcW w:type="dxa" w:w="1728"/>
          </w:tcPr>
          <w:p>
            <w:r>
              <w:rPr>
                <w:rFonts w:ascii="Calibri" w:hAnsi="Calibri"/>
                <w:sz w:val="22"/>
              </w:rPr>
              <w:t>Jul 28, 2026</w:t>
            </w:r>
          </w:p>
        </w:tc>
        <w:tc>
          <w:tcPr>
            <w:tcW w:type="dxa" w:w="1728"/>
          </w:tcPr>
          <w:p>
            <w:r>
              <w:rPr>
                <w:rFonts w:ascii="Calibri" w:hAnsi="Calibri"/>
                <w:sz w:val="22"/>
              </w:rPr>
              <w:t>First large load tariff agreement in Michigan; Sept IRP filing; 10.25% ROE rate case; $7.50/month residential savings per GW</w:t>
            </w:r>
          </w:p>
        </w:tc>
        <w:tc>
          <w:tcPr>
            <w:tcW w:type="dxa" w:w="1728"/>
          </w:tcPr>
          <w:p>
            <w:r>
              <w:rPr>
                <w:rFonts w:ascii="Calibri" w:hAnsi="Calibri"/>
                <w:b/>
                <w:color w:val="30A46C"/>
                <w:sz w:val="22"/>
              </w:rPr>
              <w:t>Midwest tariff framework validation; Sept IRP timing mirrors AEE; 10.25% ROE consistent with AEE Missouri filing</w:t>
            </w:r>
          </w:p>
        </w:tc>
        <w:tc>
          <w:tcPr>
            <w:tcW w:type="dxa" w:w="1728"/>
          </w:tcPr>
          <w:p>
            <w:r>
              <w:rPr>
                <w:rFonts w:ascii="Calibri" w:hAnsi="Calibri"/>
                <w:b/>
                <w:color w:val="30A46C"/>
                <w:sz w:val="22"/>
              </w:rPr>
              <w:t>Positive</w:t>
            </w:r>
          </w:p>
        </w:tc>
      </w:tr>
      <w:tr>
        <w:tc>
          <w:tcPr>
            <w:tcW w:type="dxa" w:w="1728"/>
          </w:tcPr>
          <w:p>
            <w:r>
              <w:rPr>
                <w:rFonts w:ascii="Calibri" w:hAnsi="Calibri"/>
                <w:sz w:val="22"/>
              </w:rPr>
              <w:t>Entergy</w:t>
            </w:r>
          </w:p>
        </w:tc>
        <w:tc>
          <w:tcPr>
            <w:tcW w:type="dxa" w:w="1728"/>
          </w:tcPr>
          <w:p>
            <w:r>
              <w:rPr>
                <w:rFonts w:ascii="Calibri" w:hAnsi="Calibri"/>
                <w:sz w:val="22"/>
              </w:rPr>
              <w:t>Jul 29, 2026</w:t>
            </w:r>
          </w:p>
        </w:tc>
        <w:tc>
          <w:tcPr>
            <w:tcW w:type="dxa" w:w="1728"/>
          </w:tcPr>
          <w:p>
            <w:r>
              <w:rPr>
                <w:rFonts w:ascii="Calibri" w:hAnsi="Calibri"/>
                <w:sz w:val="22"/>
              </w:rPr>
              <w:t>10% industrial sales growth; 7–12 GW hyperscale pipeline; Fair Share Plus pledge; FFO/debt ≥15%; weather normalization headwind in Q2</w:t>
            </w:r>
          </w:p>
        </w:tc>
        <w:tc>
          <w:tcPr>
            <w:tcW w:type="dxa" w:w="1728"/>
          </w:tcPr>
          <w:p>
            <w:r>
              <w:rPr>
                <w:rFonts w:ascii="Calibri" w:hAnsi="Calibri"/>
                <w:b/>
                <w:color w:val="30A46C"/>
                <w:sz w:val="22"/>
              </w:rPr>
              <w:t>Weather headwind validates AEE Q2 setup; FFO/debt benchmark; demand growth trajectory positive</w:t>
            </w:r>
          </w:p>
        </w:tc>
        <w:tc>
          <w:tcPr>
            <w:tcW w:type="dxa" w:w="1728"/>
          </w:tcPr>
          <w:p>
            <w:r>
              <w:rPr>
                <w:rFonts w:ascii="Calibri" w:hAnsi="Calibri"/>
                <w:b/>
                <w:color w:val="30A46C"/>
                <w:sz w:val="22"/>
              </w:rPr>
              <w:t>Positive</w:t>
            </w:r>
          </w:p>
        </w:tc>
      </w:tr>
      <w:tr>
        <w:tc>
          <w:tcPr>
            <w:tcW w:type="dxa" w:w="1728"/>
          </w:tcPr>
          <w:p>
            <w:r>
              <w:rPr>
                <w:rFonts w:ascii="Calibri" w:hAnsi="Calibri"/>
                <w:sz w:val="22"/>
              </w:rPr>
              <w:t>NextEra Energy</w:t>
            </w:r>
          </w:p>
        </w:tc>
        <w:tc>
          <w:tcPr>
            <w:tcW w:type="dxa" w:w="1728"/>
          </w:tcPr>
          <w:p>
            <w:r>
              <w:rPr>
                <w:rFonts w:ascii="Calibri" w:hAnsi="Calibri"/>
                <w:sz w:val="22"/>
              </w:rPr>
              <w:t>Jul 24, 2026</w:t>
            </w:r>
          </w:p>
        </w:tc>
        <w:tc>
          <w:tcPr>
            <w:tcW w:type="dxa" w:w="1728"/>
          </w:tcPr>
          <w:p>
            <w:r>
              <w:rPr>
                <w:rFonts w:ascii="Calibri" w:hAnsi="Calibri"/>
                <w:sz w:val="22"/>
              </w:rPr>
              <w:t>FPL large load raised to 8 GW by 2032; 35.1 GW backlog; supply chain secured through 2029; FERC Section 206 show cause positive</w:t>
            </w:r>
          </w:p>
        </w:tc>
        <w:tc>
          <w:tcPr>
            <w:tcW w:type="dxa" w:w="1728"/>
          </w:tcPr>
          <w:p>
            <w:r>
              <w:rPr>
                <w:rFonts w:ascii="Calibri" w:hAnsi="Calibri"/>
                <w:b/>
                <w:color w:val="30A46C"/>
                <w:sz w:val="22"/>
              </w:rPr>
              <w:t>Macro demand acceleration; supply chain security relevant to AEE generation procurement; FERC tailwind</w:t>
            </w:r>
          </w:p>
        </w:tc>
        <w:tc>
          <w:tcPr>
            <w:tcW w:type="dxa" w:w="1728"/>
          </w:tcPr>
          <w:p>
            <w:r>
              <w:rPr>
                <w:rFonts w:ascii="Calibri" w:hAnsi="Calibri"/>
                <w:b/>
                <w:color w:val="30A46C"/>
                <w:sz w:val="22"/>
              </w:rPr>
              <w:t>Positive</w:t>
            </w:r>
          </w:p>
        </w:tc>
      </w:tr>
      <w:tr>
        <w:tc>
          <w:tcPr>
            <w:tcW w:type="dxa" w:w="1728"/>
          </w:tcPr>
          <w:p>
            <w:r>
              <w:rPr>
                <w:rFonts w:ascii="Calibri" w:hAnsi="Calibri"/>
                <w:sz w:val="22"/>
              </w:rPr>
              <w:t>PG&amp;E</w:t>
            </w:r>
          </w:p>
        </w:tc>
        <w:tc>
          <w:tcPr>
            <w:tcW w:type="dxa" w:w="1728"/>
          </w:tcPr>
          <w:p>
            <w:r>
              <w:rPr>
                <w:rFonts w:ascii="Calibri" w:hAnsi="Calibri"/>
                <w:sz w:val="22"/>
              </w:rPr>
              <w:t>Jul 23, 2026</w:t>
            </w:r>
          </w:p>
        </w:tc>
        <w:tc>
          <w:tcPr>
            <w:tcW w:type="dxa" w:w="1728"/>
          </w:tcPr>
          <w:p>
            <w:r>
              <w:rPr>
                <w:rFonts w:ascii="Calibri" w:hAnsi="Calibri"/>
                <w:sz w:val="22"/>
              </w:rPr>
              <w:t>12 GW pipeline; financial commitment required for final engineering; rate-reducing large load framework; FERC show cause positive</w:t>
            </w:r>
          </w:p>
        </w:tc>
        <w:tc>
          <w:tcPr>
            <w:tcW w:type="dxa" w:w="1728"/>
          </w:tcPr>
          <w:p>
            <w:r>
              <w:rPr>
                <w:rFonts w:ascii="Calibri" w:hAnsi="Calibri"/>
                <w:b/>
                <w:color w:val="30A46C"/>
                <w:sz w:val="22"/>
              </w:rPr>
              <w:t>Pipeline quality framework analogous to AEE’s ESA structure; FERC tailwind; rate-reducing framework validation</w:t>
            </w:r>
          </w:p>
        </w:tc>
        <w:tc>
          <w:tcPr>
            <w:tcW w:type="dxa" w:w="1728"/>
          </w:tcPr>
          <w:p>
            <w:r>
              <w:rPr>
                <w:rFonts w:ascii="Calibri" w:hAnsi="Calibri"/>
                <w:b/>
                <w:color w:val="30A46C"/>
                <w:sz w:val="22"/>
              </w:rPr>
              <w:t>Positive</w:t>
            </w:r>
          </w:p>
        </w:tc>
      </w:tr>
      <w:tr>
        <w:tc>
          <w:tcPr>
            <w:tcW w:type="dxa" w:w="1728"/>
          </w:tcPr>
          <w:p>
            <w:r>
              <w:rPr>
                <w:rFonts w:ascii="Calibri" w:hAnsi="Calibri"/>
                <w:sz w:val="22"/>
              </w:rPr>
              <w:t>CenterPoint</w:t>
            </w:r>
          </w:p>
        </w:tc>
        <w:tc>
          <w:tcPr>
            <w:tcW w:type="dxa" w:w="1728"/>
          </w:tcPr>
          <w:p>
            <w:r>
              <w:rPr>
                <w:rFonts w:ascii="Calibri" w:hAnsi="Calibri"/>
                <w:sz w:val="22"/>
              </w:rPr>
              <w:t>Jul 28, 2026</w:t>
            </w:r>
          </w:p>
        </w:tc>
        <w:tc>
          <w:tcPr>
            <w:tcW w:type="dxa" w:w="1728"/>
          </w:tcPr>
          <w:p>
            <w:r>
              <w:rPr>
                <w:rFonts w:ascii="Calibri" w:hAnsi="Calibri"/>
                <w:sz w:val="22"/>
              </w:rPr>
              <w:t>$1.2B CapEx increase without equity; 14 GW batch zero; $5B customer savings; Indiana large load adjacent to AEE IL territory</w:t>
            </w:r>
          </w:p>
        </w:tc>
        <w:tc>
          <w:tcPr>
            <w:tcW w:type="dxa" w:w="1728"/>
          </w:tcPr>
          <w:p>
            <w:r>
              <w:rPr>
                <w:rFonts w:ascii="Calibri" w:hAnsi="Calibri"/>
                <w:b/>
                <w:color w:val="30A46C"/>
                <w:sz w:val="22"/>
              </w:rPr>
              <w:t>CapEx expansion without equity dilution is positive precedent; Indiana adjacency relevant to AEE Illinois pipeline</w:t>
            </w:r>
          </w:p>
        </w:tc>
        <w:tc>
          <w:tcPr>
            <w:tcW w:type="dxa" w:w="1728"/>
          </w:tcPr>
          <w:p>
            <w:r>
              <w:rPr>
                <w:rFonts w:ascii="Calibri" w:hAnsi="Calibri"/>
                <w:b/>
                <w:color w:val="30A46C"/>
                <w:sz w:val="22"/>
              </w:rPr>
              <w:t>Positive</w:t>
            </w:r>
          </w:p>
        </w:tc>
      </w:tr>
      <w:tr>
        <w:tc>
          <w:tcPr>
            <w:tcW w:type="dxa" w:w="1728"/>
          </w:tcPr>
          <w:p>
            <w:r>
              <w:rPr>
                <w:rFonts w:ascii="Calibri" w:hAnsi="Calibri"/>
                <w:sz w:val="22"/>
              </w:rPr>
              <w:t>FirstEnergy</w:t>
            </w:r>
          </w:p>
        </w:tc>
        <w:tc>
          <w:tcPr>
            <w:tcW w:type="dxa" w:w="1728"/>
          </w:tcPr>
          <w:p>
            <w:r>
              <w:rPr>
                <w:rFonts w:ascii="Calibri" w:hAnsi="Calibri"/>
                <w:sz w:val="22"/>
              </w:rPr>
              <w:t>Jul 29, 2026</w:t>
            </w:r>
          </w:p>
        </w:tc>
        <w:tc>
          <w:tcPr>
            <w:tcW w:type="dxa" w:w="1728"/>
          </w:tcPr>
          <w:p>
            <w:r>
              <w:rPr>
                <w:rFonts w:ascii="Calibri" w:hAnsi="Calibri"/>
                <w:sz w:val="22"/>
              </w:rPr>
              <w:t>30% demand increase since Q1; 6.4 GW contracted; Maysville CPCN advancing; $250M/GW generation investment; 4%+ industrial load growth</w:t>
            </w:r>
          </w:p>
        </w:tc>
        <w:tc>
          <w:tcPr>
            <w:tcW w:type="dxa" w:w="1728"/>
          </w:tcPr>
          <w:p>
            <w:r>
              <w:rPr>
                <w:rFonts w:ascii="Calibri" w:hAnsi="Calibri"/>
                <w:b/>
                <w:color w:val="30A46C"/>
                <w:sz w:val="22"/>
              </w:rPr>
              <w:t>Demand acceleration validates AEE pipeline; generation CapEx benchmark; CPCN process precedent for AEE’s CN filings</w:t>
            </w:r>
          </w:p>
        </w:tc>
        <w:tc>
          <w:tcPr>
            <w:tcW w:type="dxa" w:w="1728"/>
          </w:tcPr>
          <w:p>
            <w:r>
              <w:rPr>
                <w:rFonts w:ascii="Calibri" w:hAnsi="Calibri"/>
                <w:b/>
                <w:color w:val="30A46C"/>
                <w:sz w:val="22"/>
              </w:rPr>
              <w:t>Positive</w:t>
            </w:r>
          </w:p>
        </w:tc>
      </w:tr>
      <w:tr>
        <w:tc>
          <w:tcPr>
            <w:tcW w:type="dxa" w:w="1728"/>
          </w:tcPr>
          <w:p>
            <w:r>
              <w:rPr>
                <w:rFonts w:ascii="Calibri" w:hAnsi="Calibri"/>
                <w:sz w:val="22"/>
              </w:rPr>
              <w:t>WEC Energy</w:t>
            </w:r>
          </w:p>
        </w:tc>
        <w:tc>
          <w:tcPr>
            <w:tcW w:type="dxa" w:w="1728"/>
          </w:tcPr>
          <w:p>
            <w:r>
              <w:rPr>
                <w:rFonts w:ascii="Calibri" w:hAnsi="Calibri"/>
                <w:sz w:val="22"/>
              </w:rPr>
              <w:t>Jul 29, 2026</w:t>
            </w:r>
          </w:p>
        </w:tc>
        <w:tc>
          <w:tcPr>
            <w:tcW w:type="dxa" w:w="1728"/>
          </w:tcPr>
          <w:p>
            <w:r>
              <w:rPr>
                <w:rFonts w:ascii="Calibri" w:hAnsi="Calibri"/>
                <w:sz w:val="22"/>
              </w:rPr>
              <w:t>4.2% weather-normal sales growth from VLCs; VLC tariff written order; Oracle credit/collateral issue; capital plan update on Q3 call</w:t>
            </w:r>
          </w:p>
        </w:tc>
        <w:tc>
          <w:tcPr>
            <w:tcW w:type="dxa" w:w="1728"/>
          </w:tcPr>
          <w:p>
            <w:r>
              <w:rPr>
                <w:rFonts w:ascii="Calibri" w:hAnsi="Calibri"/>
                <w:b/>
                <w:color w:val="30A46C"/>
                <w:sz w:val="22"/>
              </w:rPr>
              <w:t>Closest Midwest analog; Oracle credit Q&amp;A preview for AEE; 4.2% sales growth validates AEE’s 6.2% CAGR assumption</w:t>
            </w:r>
          </w:p>
        </w:tc>
        <w:tc>
          <w:tcPr>
            <w:tcW w:type="dxa" w:w="1728"/>
          </w:tcPr>
          <w:p>
            <w:r>
              <w:rPr>
                <w:rFonts w:ascii="Calibri" w:hAnsi="Calibri"/>
                <w:b/>
                <w:color w:val="30A46C"/>
                <w:sz w:val="22"/>
              </w:rPr>
              <w:t>Positive</w:t>
            </w:r>
          </w:p>
        </w:tc>
      </w:tr>
    </w:tbl>
    <w:p>
      <w:r>
        <w:rPr>
          <w:rFonts w:ascii="Calibri" w:hAnsi="Calibri"/>
          <w:b/>
          <w:color w:val="525866"/>
          <w:sz w:val="22"/>
        </w:rPr>
        <w:t xml:space="preserve">Overall Peer Read-Through Assessment: </w:t>
      </w:r>
      <w:r>
        <w:rPr>
          <w:rFonts w:ascii="Calibri" w:hAnsi="Calibri"/>
          <w:color w:val="525866"/>
          <w:sz w:val="22"/>
        </w:rPr>
        <w:t xml:space="preserve">The Q2 2026 peer earnings season is uniformly positive for AEE’s investment thesis. Every peer with a large load strategy is seeing demand accelerate, tariff frameworks are being approved with customer protections intact, and capital plans are expanding without equity dilution. The two key watch items for AEE’s Q2 call that peers have previewed: (1) </w:t>
      </w:r>
      <w:r>
        <w:rPr>
          <w:rFonts w:ascii="Calibri" w:hAnsi="Calibri"/>
          <w:b/>
          <w:color w:val="525866"/>
          <w:sz w:val="22"/>
        </w:rPr>
        <w:t>counterparty credit protections</w:t>
      </w:r>
      <w:r>
        <w:rPr>
          <w:rFonts w:ascii="Calibri" w:hAnsi="Calibri"/>
          <w:color w:val="525866"/>
          <w:sz w:val="22"/>
        </w:rPr>
        <w:t xml:space="preserve"> (Oracle downgrade at DTE/WEC will prompt similar questions for AEE’s ESA counterparties), and (2) </w:t>
      </w:r>
      <w:r>
        <w:rPr>
          <w:rFonts w:ascii="Calibri" w:hAnsi="Calibri"/>
          <w:b/>
          <w:color w:val="525866"/>
          <w:sz w:val="22"/>
        </w:rPr>
        <w:t>IRP/capital plan update timing</w:t>
      </w:r>
      <w:r>
        <w:rPr>
          <w:rFonts w:ascii="Calibri" w:hAnsi="Calibri"/>
          <w:color w:val="525866"/>
          <w:sz w:val="22"/>
        </w:rPr>
        <w:t xml:space="preserve"> (DTE, CMS, and WEC are all updating plans in Q3 — investors will expect AEE to provide early color on its September IRP update).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