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Ameren Corporation (AEE)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Ameren Corporation</w:t>
            </w:r>
          </w:p>
        </w:tc>
      </w:tr>
      <w:tr>
        <w:tc>
          <w:tcPr>
            <w:tcW w:type="dxa" w:w="4320"/>
          </w:tcPr>
          <w:p>
            <w:r>
              <w:rPr>
                <w:rFonts w:ascii="Calibri" w:hAnsi="Calibri"/>
                <w:b/>
                <w:sz w:val="22"/>
              </w:rPr>
              <w:t>Ticker</w:t>
            </w:r>
          </w:p>
        </w:tc>
        <w:tc>
          <w:tcPr>
            <w:tcW w:type="dxa" w:w="4320"/>
          </w:tcPr>
          <w:p>
            <w:r>
              <w:rPr>
                <w:rFonts w:ascii="Calibri" w:hAnsi="Calibri"/>
                <w:sz w:val="22"/>
              </w:rPr>
              <w:t>AEE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31, 2026 — 10:00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May 5–6,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manageable $1.08 operating EPS, the bar has drifted slightly lower since Q1 earnings, and the biggest swing factor is whether AEE can confirm additional ESA conversions from its 1.2 GW construction agreement pipeline and provide early groundbreaking evidence on the 2.2 GW already signed.</w:t>
      </w:r>
    </w:p>
    <w:p>
      <w:r>
        <w:rPr>
          <w:rFonts w:ascii="Calibri" w:hAnsi="Calibri"/>
          <w:color w:val="525866"/>
          <w:sz w:val="22"/>
        </w:rPr>
        <w:t xml:space="preserve">Heading into Q2 2026, Ameren’s setup is characterized by a low-to-moderate bar, a reaffirmed full-year guidance range of $5.25–$5.45, and a narrative that has shifted decisively from “pipeline” to “execution.” </w:t>
      </w:r>
    </w:p>
    <w:p>
      <w:r>
        <w:rPr>
          <w:rFonts w:ascii="Calibri" w:hAnsi="Calibri"/>
          <w:b/>
          <w:color w:val="525866"/>
          <w:sz w:val="22"/>
        </w:rPr>
        <w:t xml:space="preserve">Bar &amp; Consensus: </w:t>
      </w:r>
      <w:r>
        <w:rPr>
          <w:rFonts w:ascii="Calibri" w:hAnsi="Calibri"/>
          <w:color w:val="525866"/>
          <w:sz w:val="22"/>
        </w:rPr>
        <w:t>The Q2 2026 operating EPS consensus of ~$1.08 is modestly below the $1.28 reported in Q1 2026 (a seasonally weaker quarter for a summer-peaking utility), and sits roughly in line with the $1.01 reported in Q2 2025 — a low bar that management should be able to clear absent a significant weather miss. Estimate revisions have been slightly negative since Q1 earnings (from ~$1.08 to ~$1.08, with a brief dip to $1.02 in May), suggesting the street is not pricing in a meaningful beat.</w:t>
      </w:r>
    </w:p>
    <w:p>
      <w:r>
        <w:rPr>
          <w:rFonts w:ascii="Calibri" w:hAnsi="Calibri"/>
          <w:b/>
          <w:color w:val="525866"/>
          <w:sz w:val="22"/>
        </w:rPr>
        <w:t xml:space="preserve">Guidance &amp; Tone: </w:t>
      </w:r>
      <w:r>
        <w:rPr>
          <w:rFonts w:ascii="Calibri" w:hAnsi="Calibri"/>
          <w:color w:val="525866"/>
          <w:sz w:val="22"/>
        </w:rPr>
        <w:t>Management reaffirmed the $5.25–$5.45 full-year 2026 EPS range on the Q1 call and has not issued any subsequent guidance revision. Tone has been increasingly confident on the data center opportunity — the 2.2 GW ESA sites are secured, groundbreakings were expected in Q2, and management signaled near-term conversion of a portion of the remaining 1.2 GW construction agreements to additional ESAs. The June 26 Missouri rate case filing ($343M revenue increase request, 10.25% ROE, $16.7B rate base) is a constructive regulatory signal.</w:t>
      </w:r>
    </w:p>
    <w:p>
      <w:r>
        <w:rPr>
          <w:rFonts w:ascii="Calibri" w:hAnsi="Calibri"/>
          <w:b/>
          <w:color w:val="525866"/>
          <w:sz w:val="22"/>
        </w:rPr>
        <w:t xml:space="preserve">Estimate Trajectory: </w:t>
      </w:r>
      <w:r>
        <w:rPr>
          <w:rFonts w:ascii="Calibri" w:hAnsi="Calibri"/>
          <w:color w:val="525866"/>
          <w:sz w:val="22"/>
        </w:rPr>
        <w:t>Full-year 2026 consensus of ~$5.38 is essentially flat to the $5.35 level at the time of Q1 earnings, suggesting estimates are tracking guidance rather than diverging. The slight downward drift in Q2 estimates (from $1.08 to a trough of $1.02 in May before recovering) likely reflects higher tree-trimming cost guidance flagged by management for Q2 specifically, and is not a structural concern.</w:t>
      </w:r>
    </w:p>
    <w:p>
      <w:r>
        <w:rPr>
          <w:rFonts w:ascii="Calibri" w:hAnsi="Calibri"/>
          <w:b/>
          <w:color w:val="525866"/>
          <w:sz w:val="22"/>
        </w:rPr>
        <w:t xml:space="preserve">Stock Setup: </w:t>
      </w:r>
      <w:r>
        <w:rPr>
          <w:rFonts w:ascii="Calibri" w:hAnsi="Calibri"/>
          <w:color w:val="525866"/>
          <w:sz w:val="22"/>
        </w:rPr>
        <w:t>AEE has outperformed XLU since Q1 earnings (+1.2% vs. XLU flat), with the stock briefly touching $118 in late June before pulling back to ~$110. The NTM P/E of ~19.9x is above the 12-month average of ~19.4x, suggesting the market has partially priced in the data center growth story but has not fully de-risked execution. The stock is not pricing in a blowout beat.</w:t>
      </w:r>
    </w:p>
    <w:p>
      <w:r>
        <w:rPr>
          <w:rFonts w:ascii="Calibri" w:hAnsi="Calibri"/>
          <w:b/>
          <w:color w:val="525866"/>
          <w:sz w:val="22"/>
        </w:rPr>
        <w:t xml:space="preserve">Wildcard: </w:t>
      </w:r>
      <w:r>
        <w:rPr>
          <w:rFonts w:ascii="Calibri" w:hAnsi="Calibri"/>
          <w:color w:val="525866"/>
          <w:sz w:val="22"/>
        </w:rPr>
        <w:t>The single biggest swing factor is the pace of ESA groundbreakings and any announcement of additional ESA conversions from the 1.2 GW construction agreement pool. Management guided to Q2 groundbreakings on the Q1 call — confirmation (or delay) of those events will be the most market-moving element of the print, more so than the EPS number itself. The September IRP update is also a key upcoming catalyst that investors will want color 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on EPS ($1.08 vs. $1.01 in Q2 2025), but the bigger swing factor is retail electric sales volume in Missouri — Q2 is the first summer quarter where data center load ramp could begin to show up, and any upside surprise there would be more meaningful than the EPS beat itself.</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EPS (Diluted)</w:t>
            </w:r>
          </w:p>
        </w:tc>
        <w:tc>
          <w:tcPr>
            <w:tcW w:type="dxa" w:w="1234"/>
          </w:tcPr>
          <w:p>
            <w:r>
              <w:rPr>
                <w:rFonts w:ascii="Calibri" w:hAnsi="Calibri"/>
                <w:sz w:val="22"/>
              </w:rPr>
              <w:t>$1.28</w:t>
            </w:r>
          </w:p>
        </w:tc>
        <w:tc>
          <w:tcPr>
            <w:tcW w:type="dxa" w:w="1234"/>
          </w:tcPr>
          <w:p>
            <w:r>
              <w:rPr>
                <w:rFonts w:ascii="Calibri" w:hAnsi="Calibri"/>
                <w:sz w:val="22"/>
              </w:rPr>
              <w:t>$1.01</w:t>
            </w:r>
          </w:p>
        </w:tc>
        <w:tc>
          <w:tcPr>
            <w:tcW w:type="dxa" w:w="1234"/>
          </w:tcPr>
          <w:p>
            <w:r>
              <w:rPr>
                <w:rFonts w:ascii="Calibri" w:hAnsi="Calibri"/>
                <w:sz w:val="22"/>
              </w:rPr>
              <w:t>$1.08</w:t>
            </w:r>
          </w:p>
        </w:tc>
        <w:tc>
          <w:tcPr>
            <w:tcW w:type="dxa" w:w="1234"/>
          </w:tcPr>
          <w:p>
            <w:r>
              <w:rPr>
                <w:rFonts w:ascii="Calibri" w:hAnsi="Calibri"/>
                <w:sz w:val="22"/>
              </w:rPr>
              <w:t>+6.9% YoY</w:t>
            </w:r>
          </w:p>
        </w:tc>
        <w:tc>
          <w:tcPr>
            <w:tcW w:type="dxa" w:w="1234"/>
          </w:tcPr>
          <w:p>
            <w:r>
              <w:rPr>
                <w:rFonts w:ascii="Calibri" w:hAnsi="Calibri"/>
                <w:sz w:val="22"/>
              </w:rPr>
              <w:t>$5.25–$5.45 (FY)</w:t>
            </w:r>
          </w:p>
        </w:tc>
        <w:tc>
          <w:tcPr>
            <w:tcW w:type="dxa" w:w="1234"/>
          </w:tcPr>
          <w:p>
            <w:r>
              <w:rPr>
                <w:rFonts w:ascii="Calibri" w:hAnsi="Calibri"/>
                <w:sz w:val="22"/>
              </w:rPr>
              <w:t>FY consensus $5.38 vs. midpoint $5.35; +0.6% above mid</w:t>
            </w:r>
          </w:p>
        </w:tc>
      </w:tr>
      <w:tr>
        <w:tc>
          <w:tcPr>
            <w:tcW w:type="dxa" w:w="1234"/>
          </w:tcPr>
          <w:p>
            <w:r>
              <w:rPr>
                <w:rFonts w:ascii="Calibri" w:hAnsi="Calibri"/>
                <w:sz w:val="22"/>
              </w:rPr>
              <w:t>Total Operating Revenues</w:t>
            </w:r>
          </w:p>
        </w:tc>
        <w:tc>
          <w:tcPr>
            <w:tcW w:type="dxa" w:w="1234"/>
          </w:tcPr>
          <w:p>
            <w:r>
              <w:rPr>
                <w:rFonts w:ascii="Calibri" w:hAnsi="Calibri"/>
                <w:sz w:val="22"/>
              </w:rPr>
              <w:t>$2,176M</w:t>
            </w:r>
          </w:p>
        </w:tc>
        <w:tc>
          <w:tcPr>
            <w:tcW w:type="dxa" w:w="1234"/>
          </w:tcPr>
          <w:p>
            <w:r>
              <w:rPr>
                <w:rFonts w:ascii="Calibri" w:hAnsi="Calibri"/>
                <w:sz w:val="22"/>
              </w:rPr>
              <w:t>$2,221M</w:t>
            </w:r>
          </w:p>
        </w:tc>
        <w:tc>
          <w:tcPr>
            <w:tcW w:type="dxa" w:w="1234"/>
          </w:tcPr>
          <w:p>
            <w:r>
              <w:rPr>
                <w:rFonts w:ascii="Calibri" w:hAnsi="Calibri"/>
                <w:sz w:val="22"/>
              </w:rPr>
              <w:t>$2,346M</w:t>
            </w:r>
          </w:p>
        </w:tc>
        <w:tc>
          <w:tcPr>
            <w:tcW w:type="dxa" w:w="1234"/>
          </w:tcPr>
          <w:p>
            <w:r>
              <w:rPr>
                <w:rFonts w:ascii="Calibri" w:hAnsi="Calibri"/>
                <w:sz w:val="22"/>
              </w:rPr>
              <w:t>+5.6% YoY</w:t>
            </w:r>
          </w:p>
        </w:tc>
        <w:tc>
          <w:tcPr>
            <w:tcW w:type="dxa" w:w="1234"/>
          </w:tcPr>
          <w:p>
            <w:r>
              <w:rPr>
                <w:rFonts w:ascii="Calibri" w:hAnsi="Calibri"/>
                <w:sz w:val="22"/>
              </w:rPr>
              <w:t>N/A — no quarterly revenue guidance issued</w:t>
            </w:r>
          </w:p>
        </w:tc>
        <w:tc>
          <w:tcPr>
            <w:tcW w:type="dxa" w:w="1234"/>
          </w:tcPr>
          <w:p>
            <w:r>
              <w:rPr>
                <w:rFonts w:ascii="Calibri" w:hAnsi="Calibri"/>
                <w:sz w:val="22"/>
              </w:rPr>
              <w:t>FY consensus $9.16B vs. FY 2026 no explicit guidance</w:t>
            </w:r>
          </w:p>
        </w:tc>
      </w:tr>
      <w:tr>
        <w:tc>
          <w:tcPr>
            <w:tcW w:type="dxa" w:w="1234"/>
          </w:tcPr>
          <w:p>
            <w:r>
              <w:rPr>
                <w:rFonts w:ascii="Calibri" w:hAnsi="Calibri"/>
                <w:sz w:val="22"/>
              </w:rPr>
              <w:t>Missouri Electric Retail Sales (GWh)</w:t>
            </w:r>
          </w:p>
        </w:tc>
        <w:tc>
          <w:tcPr>
            <w:tcW w:type="dxa" w:w="1234"/>
          </w:tcPr>
          <w:p>
            <w:r>
              <w:rPr>
                <w:rFonts w:ascii="Calibri" w:hAnsi="Calibri"/>
                <w:sz w:val="22"/>
              </w:rPr>
              <w:t>7,932 GWh</w:t>
            </w:r>
          </w:p>
        </w:tc>
        <w:tc>
          <w:tcPr>
            <w:tcW w:type="dxa" w:w="1234"/>
          </w:tcPr>
          <w:p>
            <w:r>
              <w:rPr>
                <w:rFonts w:ascii="Calibri" w:hAnsi="Calibri"/>
                <w:sz w:val="22"/>
              </w:rPr>
              <w:t>7,211 GWh</w:t>
            </w:r>
          </w:p>
        </w:tc>
        <w:tc>
          <w:tcPr>
            <w:tcW w:type="dxa" w:w="1234"/>
          </w:tcPr>
          <w:p>
            <w:r>
              <w:rPr>
                <w:rFonts w:ascii="Calibri" w:hAnsi="Calibri"/>
                <w:sz w:val="22"/>
              </w:rPr>
              <w:t>7,221 GWh</w:t>
            </w:r>
          </w:p>
        </w:tc>
        <w:tc>
          <w:tcPr>
            <w:tcW w:type="dxa" w:w="1234"/>
          </w:tcPr>
          <w:p>
            <w:r>
              <w:rPr>
                <w:rFonts w:ascii="Calibri" w:hAnsi="Calibri"/>
                <w:sz w:val="22"/>
              </w:rPr>
              <w:t>+0.1% YoY</w:t>
            </w:r>
          </w:p>
        </w:tc>
        <w:tc>
          <w:tcPr>
            <w:tcW w:type="dxa" w:w="1234"/>
          </w:tcPr>
          <w:p>
            <w:r>
              <w:rPr>
                <w:rFonts w:ascii="Calibri" w:hAnsi="Calibri"/>
                <w:sz w:val="22"/>
              </w:rPr>
              <w:t>6.2% CAGR 2026–2030 (long-term)</w:t>
            </w:r>
          </w:p>
        </w:tc>
        <w:tc>
          <w:tcPr>
            <w:tcW w:type="dxa" w:w="1234"/>
          </w:tcPr>
          <w:p>
            <w:r>
              <w:rPr>
                <w:rFonts w:ascii="Calibri" w:hAnsi="Calibri"/>
                <w:sz w:val="22"/>
              </w:rPr>
              <w:t>FY consensus 32,096 GWh vs. plan assumption ~1.2 GW growth by 2030</w:t>
            </w:r>
          </w:p>
        </w:tc>
      </w:tr>
      <w:tr>
        <w:tc>
          <w:tcPr>
            <w:tcW w:type="dxa" w:w="1234"/>
          </w:tcPr>
          <w:p>
            <w:r>
              <w:rPr>
                <w:rFonts w:ascii="Calibri" w:hAnsi="Calibri"/>
                <w:sz w:val="22"/>
              </w:rPr>
              <w:t>Capital Expenditures</w:t>
            </w:r>
          </w:p>
        </w:tc>
        <w:tc>
          <w:tcPr>
            <w:tcW w:type="dxa" w:w="1234"/>
          </w:tcPr>
          <w:p>
            <w:r>
              <w:rPr>
                <w:rFonts w:ascii="Calibri" w:hAnsi="Calibri"/>
                <w:sz w:val="22"/>
              </w:rPr>
              <w:t>$1,574M</w:t>
            </w:r>
          </w:p>
        </w:tc>
        <w:tc>
          <w:tcPr>
            <w:tcW w:type="dxa" w:w="1234"/>
          </w:tcPr>
          <w:p>
            <w:r>
              <w:rPr>
                <w:rFonts w:ascii="Calibri" w:hAnsi="Calibri"/>
                <w:sz w:val="22"/>
              </w:rPr>
              <w:t>$1,066M</w:t>
            </w:r>
          </w:p>
        </w:tc>
        <w:tc>
          <w:tcPr>
            <w:tcW w:type="dxa" w:w="1234"/>
          </w:tcPr>
          <w:p>
            <w:r>
              <w:rPr>
                <w:rFonts w:ascii="Calibri" w:hAnsi="Calibri"/>
                <w:sz w:val="22"/>
              </w:rPr>
              <w:t>$1,381M</w:t>
            </w:r>
          </w:p>
        </w:tc>
        <w:tc>
          <w:tcPr>
            <w:tcW w:type="dxa" w:w="1234"/>
          </w:tcPr>
          <w:p>
            <w:r>
              <w:rPr>
                <w:rFonts w:ascii="Calibri" w:hAnsi="Calibri"/>
                <w:sz w:val="22"/>
              </w:rPr>
              <w:t>+29.5% YoY</w:t>
            </w:r>
          </w:p>
        </w:tc>
        <w:tc>
          <w:tcPr>
            <w:tcW w:type="dxa" w:w="1234"/>
          </w:tcPr>
          <w:p>
            <w:r>
              <w:rPr>
                <w:rFonts w:ascii="Calibri" w:hAnsi="Calibri"/>
                <w:sz w:val="22"/>
              </w:rPr>
              <w:t>~$5.6B FY 2026 (consensus)</w:t>
            </w:r>
          </w:p>
        </w:tc>
        <w:tc>
          <w:tcPr>
            <w:tcW w:type="dxa" w:w="1234"/>
          </w:tcPr>
          <w:p>
            <w:r>
              <w:rPr>
                <w:rFonts w:ascii="Calibri" w:hAnsi="Calibri"/>
                <w:sz w:val="22"/>
              </w:rPr>
              <w:t>FY consensus $5.60B; in line with 5-yr plan</w:t>
            </w:r>
          </w:p>
        </w:tc>
      </w:tr>
      <w:tr>
        <w:tc>
          <w:tcPr>
            <w:tcW w:type="dxa" w:w="1234"/>
          </w:tcPr>
          <w:p>
            <w:r>
              <w:rPr>
                <w:rFonts w:ascii="Calibri" w:hAnsi="Calibri"/>
                <w:sz w:val="22"/>
              </w:rPr>
              <w:t>Total Average Rate Base</w:t>
            </w:r>
          </w:p>
        </w:tc>
        <w:tc>
          <w:tcPr>
            <w:tcW w:type="dxa" w:w="1234"/>
          </w:tcPr>
          <w:p>
            <w:r>
              <w:rPr>
                <w:rFonts w:ascii="Calibri" w:hAnsi="Calibri"/>
                <w:sz w:val="22"/>
              </w:rPr>
              <w:t>$26.1B</w:t>
            </w:r>
          </w:p>
        </w:tc>
        <w:tc>
          <w:tcPr>
            <w:tcW w:type="dxa" w:w="1234"/>
          </w:tcPr>
          <w:p>
            <w:r>
              <w:rPr>
                <w:rFonts w:ascii="Calibri" w:hAnsi="Calibri"/>
                <w:sz w:val="22"/>
              </w:rPr>
              <w:t>$18.8B</w:t>
            </w:r>
          </w:p>
        </w:tc>
        <w:tc>
          <w:tcPr>
            <w:tcW w:type="dxa" w:w="1234"/>
          </w:tcPr>
          <w:p>
            <w:r>
              <w:rPr>
                <w:rFonts w:ascii="Calibri" w:hAnsi="Calibri"/>
                <w:sz w:val="22"/>
              </w:rPr>
              <w:t>$26.9B</w:t>
            </w:r>
          </w:p>
        </w:tc>
        <w:tc>
          <w:tcPr>
            <w:tcW w:type="dxa" w:w="1234"/>
          </w:tcPr>
          <w:p>
            <w:r>
              <w:rPr>
                <w:rFonts w:ascii="Calibri" w:hAnsi="Calibri"/>
                <w:sz w:val="22"/>
              </w:rPr>
              <w:t>+42.7% YoY</w:t>
            </w:r>
          </w:p>
        </w:tc>
        <w:tc>
          <w:tcPr>
            <w:tcW w:type="dxa" w:w="1234"/>
          </w:tcPr>
          <w:p>
            <w:r>
              <w:rPr>
                <w:rFonts w:ascii="Calibri" w:hAnsi="Calibri"/>
                <w:sz w:val="22"/>
              </w:rPr>
              <w:t>10.6% CAGR 2026–2030 (long-term)</w:t>
            </w:r>
          </w:p>
        </w:tc>
        <w:tc>
          <w:tcPr>
            <w:tcW w:type="dxa" w:w="1234"/>
          </w:tcPr>
          <w:p>
            <w:r>
              <w:rPr>
                <w:rFonts w:ascii="Calibri" w:hAnsi="Calibri"/>
                <w:sz w:val="22"/>
              </w:rPr>
              <w:t>FY consensus $30.9B; tracking plan</w:t>
            </w:r>
          </w:p>
        </w:tc>
      </w:tr>
    </w:tbl>
    <w:p>
      <w:r>
        <w:rPr>
          <w:rFonts w:ascii="Calibri" w:hAnsi="Calibri"/>
          <w:i/>
          <w:color w:val="525866"/>
          <w:sz w:val="22"/>
        </w:rPr>
        <w:t>Sources: Visible Alpha Consensus and Actuals Data. Q2 2026 consensus as of July 29, 2026. Q1 2026 actuals and Q2 2025 actuals from Visible Alpha reported figures. FY 2026 guidance from Q1 2026 earnings call (May 5–6, 2026). Note: Q2 2026 Operating EPS consensus of $1.08 reflects the latest available estimate; the prior-year Q2 2025 actual of $1.01 is sourced from Visible Alpha actuals.</w:t>
      </w:r>
    </w:p>
    <w:p>
      <w:pPr>
        <w:pStyle w:val="Heading2"/>
      </w:pPr>
      <w:r>
        <w:rPr>
          <w:rFonts w:ascii="Calibri" w:hAnsi="Calibri"/>
          <w:b/>
          <w:color w:val="3B4259"/>
          <w:sz w:val="28"/>
        </w:rPr>
        <w:t>Table 2 — Beat/Miss History: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Operating EPS</w:t>
            </w:r>
          </w:p>
        </w:tc>
        <w:tc>
          <w:tcPr>
            <w:tcW w:type="dxa" w:w="1728"/>
            <w:shd w:val="clear" w:color="auto" w:fill="3B4259"/>
          </w:tcPr>
          <w:p>
            <w:r>
              <w:rPr>
                <w:rFonts w:ascii="Calibri" w:hAnsi="Calibri"/>
                <w:b/>
                <w:color w:val="FFFFFF"/>
                <w:sz w:val="22"/>
              </w:rPr>
              <w:t>Consensus Estimate</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$1.28</w:t>
            </w:r>
          </w:p>
        </w:tc>
        <w:tc>
          <w:tcPr>
            <w:tcW w:type="dxa" w:w="1728"/>
          </w:tcPr>
          <w:p>
            <w:r>
              <w:rPr>
                <w:rFonts w:ascii="Calibri" w:hAnsi="Calibri"/>
                <w:sz w:val="22"/>
              </w:rPr>
              <w:t>$1.18</w:t>
            </w:r>
          </w:p>
        </w:tc>
        <w:tc>
          <w:tcPr>
            <w:tcW w:type="dxa" w:w="1728"/>
          </w:tcPr>
          <w:p>
            <w:r>
              <w:rPr>
                <w:rFonts w:ascii="Calibri" w:hAnsi="Calibri"/>
                <w:b/>
                <w:color w:val="30A46C"/>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$0.78</w:t>
            </w:r>
          </w:p>
        </w:tc>
        <w:tc>
          <w:tcPr>
            <w:tcW w:type="dxa" w:w="1728"/>
          </w:tcPr>
          <w:p>
            <w:r>
              <w:rPr>
                <w:rFonts w:ascii="Calibri" w:hAnsi="Calibri"/>
                <w:sz w:val="22"/>
              </w:rPr>
              <w:t>$0.78</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$2.17</w:t>
            </w:r>
          </w:p>
        </w:tc>
        <w:tc>
          <w:tcPr>
            <w:tcW w:type="dxa" w:w="1728"/>
          </w:tcPr>
          <w:p>
            <w:r>
              <w:rPr>
                <w:rFonts w:ascii="Calibri" w:hAnsi="Calibri"/>
                <w:sz w:val="22"/>
              </w:rPr>
              <w:t>$2.11</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$1.01</w:t>
            </w:r>
          </w:p>
        </w:tc>
        <w:tc>
          <w:tcPr>
            <w:tcW w:type="dxa" w:w="1728"/>
          </w:tcPr>
          <w:p>
            <w:r>
              <w:rPr>
                <w:rFonts w:ascii="Calibri" w:hAnsi="Calibri"/>
                <w:sz w:val="22"/>
              </w:rPr>
              <w:t>$0.98</w:t>
            </w:r>
          </w:p>
        </w:tc>
        <w:tc>
          <w:tcPr>
            <w:tcW w:type="dxa" w:w="1728"/>
          </w:tcPr>
          <w:p>
            <w:r>
              <w:rPr>
                <w:rFonts w:ascii="Calibri" w:hAnsi="Calibri"/>
                <w:b/>
                <w:color w:val="30A46C"/>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$1.06</w:t>
            </w:r>
          </w:p>
        </w:tc>
        <w:tc>
          <w:tcPr>
            <w:tcW w:type="dxa" w:w="1728"/>
          </w:tcPr>
          <w:p>
            <w:r>
              <w:rPr>
                <w:rFonts w:ascii="Calibri" w:hAnsi="Calibri"/>
                <w:sz w:val="22"/>
              </w:rPr>
              <w:t>$1.06</w:t>
            </w:r>
          </w:p>
        </w:tc>
        <w:tc>
          <w:tcPr>
            <w:tcW w:type="dxa" w:w="1728"/>
          </w:tcPr>
          <w:p>
            <w:r>
              <w:rPr>
                <w:rFonts w:ascii="Calibri" w:hAnsi="Calibri"/>
                <w:sz w:val="22"/>
              </w:rPr>
              <w:t>+0.1%</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$0.77</w:t>
            </w:r>
          </w:p>
        </w:tc>
        <w:tc>
          <w:tcPr>
            <w:tcW w:type="dxa" w:w="1728"/>
          </w:tcPr>
          <w:p>
            <w:r>
              <w:rPr>
                <w:rFonts w:ascii="Calibri" w:hAnsi="Calibri"/>
                <w:sz w:val="22"/>
              </w:rPr>
              <w:t>$0.80</w:t>
            </w:r>
          </w:p>
        </w:tc>
        <w:tc>
          <w:tcPr>
            <w:tcW w:type="dxa" w:w="1728"/>
          </w:tcPr>
          <w:p>
            <w:r>
              <w:rPr>
                <w:rFonts w:ascii="Calibri" w:hAnsi="Calibri"/>
                <w:b/>
                <w:color w:val="E5484D"/>
                <w:sz w:val="22"/>
              </w:rPr>
              <w:t>-3.8%</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$1.87</w:t>
            </w:r>
          </w:p>
        </w:tc>
        <w:tc>
          <w:tcPr>
            <w:tcW w:type="dxa" w:w="1728"/>
          </w:tcPr>
          <w:p>
            <w:r>
              <w:rPr>
                <w:rFonts w:ascii="Calibri" w:hAnsi="Calibri"/>
                <w:sz w:val="22"/>
              </w:rPr>
              <w:t>$1.91</w:t>
            </w:r>
          </w:p>
        </w:tc>
        <w:tc>
          <w:tcPr>
            <w:tcW w:type="dxa" w:w="1728"/>
          </w:tcPr>
          <w:p>
            <w:r>
              <w:rPr>
                <w:rFonts w:ascii="Calibri" w:hAnsi="Calibri"/>
                <w:b/>
                <w:color w:val="E5484D"/>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$1.01</w:t>
            </w:r>
          </w:p>
        </w:tc>
        <w:tc>
          <w:tcPr>
            <w:tcW w:type="dxa" w:w="1728"/>
          </w:tcPr>
          <w:p>
            <w:r>
              <w:rPr>
                <w:rFonts w:ascii="Calibri" w:hAnsi="Calibri"/>
                <w:sz w:val="22"/>
              </w:rPr>
              <w:t>$0.98</w:t>
            </w:r>
          </w:p>
        </w:tc>
        <w:tc>
          <w:tcPr>
            <w:tcW w:type="dxa" w:w="1728"/>
          </w:tcPr>
          <w:p>
            <w:r>
              <w:rPr>
                <w:rFonts w:ascii="Calibri" w:hAnsi="Calibri"/>
                <w:b/>
                <w:color w:val="30A46C"/>
                <w:sz w:val="22"/>
              </w:rPr>
              <w:t>+3.1%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AEE has beaten or matched consensus in 6 of the last 8 quarters, with the two misses concentrated in Q3–Q4 2024 when weather and cost headwinds weighed; the more recent trend (last 4 quarters) is 3 beats and 1 in-line, suggesting the bar is being set conservatively.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 the $5.25–$5.45 FY 2026 EPS range stands as the baseline. The most significant post-earnings development is the June 26 Missouri electric rate case filing ($343M revenue increase request), which is a constructive regulatory signal but does not alter near-term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EPS</w:t>
            </w:r>
          </w:p>
        </w:tc>
        <w:tc>
          <w:tcPr>
            <w:tcW w:type="dxa" w:w="1728"/>
          </w:tcPr>
          <w:p>
            <w:r>
              <w:rPr>
                <w:rFonts w:ascii="Calibri" w:hAnsi="Calibri"/>
                <w:sz w:val="22"/>
              </w:rPr>
              <w:t>$5.25–$5.45</w:t>
            </w:r>
          </w:p>
        </w:tc>
        <w:tc>
          <w:tcPr>
            <w:tcW w:type="dxa" w:w="1728"/>
          </w:tcPr>
          <w:p>
            <w:r>
              <w:rPr>
                <w:rFonts w:ascii="Calibri" w:hAnsi="Calibri"/>
                <w:sz w:val="22"/>
              </w:rPr>
              <w:t>— Unchanged</w:t>
            </w:r>
          </w:p>
        </w:tc>
        <w:tc>
          <w:tcPr>
            <w:tcW w:type="dxa" w:w="1728"/>
          </w:tcPr>
          <w:p>
            <w:r>
              <w:rPr>
                <w:rFonts w:ascii="Calibri" w:hAnsi="Calibri"/>
                <w:sz w:val="22"/>
              </w:rPr>
              <w:t>$5.38</w:t>
            </w:r>
          </w:p>
        </w:tc>
        <w:tc>
          <w:tcPr>
            <w:tcW w:type="dxa" w:w="1728"/>
          </w:tcPr>
          <w:p>
            <w:r>
              <w:rPr>
                <w:rFonts w:ascii="Calibri" w:hAnsi="Calibri"/>
                <w:sz w:val="22"/>
              </w:rPr>
              <w:t>Reaffirmed on Q1 call; no post-earnings revision. Consensus sits $0.03 above midpoint ($5.35).</w:t>
            </w:r>
          </w:p>
        </w:tc>
      </w:tr>
      <w:tr>
        <w:tc>
          <w:tcPr>
            <w:tcW w:type="dxa" w:w="1728"/>
          </w:tcPr>
          <w:p>
            <w:r>
              <w:rPr>
                <w:rFonts w:ascii="Calibri" w:hAnsi="Calibri"/>
                <w:sz w:val="22"/>
              </w:rPr>
              <w:t>Long-Term EPS Growth</w:t>
            </w:r>
          </w:p>
        </w:tc>
        <w:tc>
          <w:tcPr>
            <w:tcW w:type="dxa" w:w="1728"/>
          </w:tcPr>
          <w:p>
            <w:r>
              <w:rPr>
                <w:rFonts w:ascii="Calibri" w:hAnsi="Calibri"/>
                <w:sz w:val="22"/>
              </w:rPr>
              <w:t>6–8% CAGR through end of decade; confident in upper end of range for outer years</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Management tone: highly confident; emphasized consistent delivery near upper end of range.</w:t>
            </w:r>
          </w:p>
        </w:tc>
      </w:tr>
      <w:tr>
        <w:tc>
          <w:tcPr>
            <w:tcW w:type="dxa" w:w="1728"/>
          </w:tcPr>
          <w:p>
            <w:r>
              <w:rPr>
                <w:rFonts w:ascii="Calibri" w:hAnsi="Calibri"/>
                <w:sz w:val="22"/>
              </w:rPr>
              <w:t>Rate Base CAGR (2026–2030)</w:t>
            </w:r>
          </w:p>
        </w:tc>
        <w:tc>
          <w:tcPr>
            <w:tcW w:type="dxa" w:w="1728"/>
          </w:tcPr>
          <w:p>
            <w:r>
              <w:rPr>
                <w:rFonts w:ascii="Calibri" w:hAnsi="Calibri"/>
                <w:sz w:val="22"/>
              </w:rPr>
              <w:t>10.6% CAGR</w:t>
            </w:r>
          </w:p>
        </w:tc>
        <w:tc>
          <w:tcPr>
            <w:tcW w:type="dxa" w:w="1728"/>
          </w:tcPr>
          <w:p>
            <w:r>
              <w:rPr>
                <w:rFonts w:ascii="Calibri" w:hAnsi="Calibri"/>
                <w:sz w:val="22"/>
              </w:rPr>
              <w:t>— Unchanged</w:t>
            </w:r>
          </w:p>
        </w:tc>
        <w:tc>
          <w:tcPr>
            <w:tcW w:type="dxa" w:w="1728"/>
          </w:tcPr>
          <w:p>
            <w:r>
              <w:rPr>
                <w:rFonts w:ascii="Calibri" w:hAnsi="Calibri"/>
                <w:sz w:val="22"/>
              </w:rPr>
              <w:t>FY 2026 avg. rate base consensus: $30.9B</w:t>
            </w:r>
          </w:p>
        </w:tc>
        <w:tc>
          <w:tcPr>
            <w:tcW w:type="dxa" w:w="1728"/>
          </w:tcPr>
          <w:p>
            <w:r>
              <w:rPr>
                <w:rFonts w:ascii="Calibri" w:hAnsi="Calibri"/>
                <w:sz w:val="22"/>
              </w:rPr>
              <w:t>Supported by $32B 5-yr capex plan and $70B+ 10-yr pipeline.</w:t>
            </w:r>
          </w:p>
        </w:tc>
      </w:tr>
      <w:tr>
        <w:tc>
          <w:tcPr>
            <w:tcW w:type="dxa" w:w="1728"/>
          </w:tcPr>
          <w:p>
            <w:r>
              <w:rPr>
                <w:rFonts w:ascii="Calibri" w:hAnsi="Calibri"/>
                <w:sz w:val="22"/>
              </w:rPr>
              <w:t>Missouri Retail Sales CAGR (2026–2030)</w:t>
            </w:r>
          </w:p>
        </w:tc>
        <w:tc>
          <w:tcPr>
            <w:tcW w:type="dxa" w:w="1728"/>
          </w:tcPr>
          <w:p>
            <w:r>
              <w:rPr>
                <w:rFonts w:ascii="Calibri" w:hAnsi="Calibri"/>
                <w:sz w:val="22"/>
              </w:rPr>
              <w:t>6.2% CAGR; assumes ~1.2 GW growth by end of 2030</w:t>
            </w:r>
          </w:p>
        </w:tc>
        <w:tc>
          <w:tcPr>
            <w:tcW w:type="dxa" w:w="1728"/>
          </w:tcPr>
          <w:p>
            <w:r>
              <w:rPr>
                <w:rFonts w:ascii="Calibri" w:hAnsi="Calibri"/>
                <w:sz w:val="22"/>
              </w:rPr>
              <w:t>— Unchanged</w:t>
            </w:r>
          </w:p>
        </w:tc>
        <w:tc>
          <w:tcPr>
            <w:tcW w:type="dxa" w:w="1728"/>
          </w:tcPr>
          <w:p>
            <w:r>
              <w:rPr>
                <w:rFonts w:ascii="Calibri" w:hAnsi="Calibri"/>
                <w:sz w:val="22"/>
              </w:rPr>
              <w:t>FY 2026 consensus: 32,096 GWh</w:t>
            </w:r>
          </w:p>
        </w:tc>
        <w:tc>
          <w:tcPr>
            <w:tcW w:type="dxa" w:w="1728"/>
          </w:tcPr>
          <w:p>
            <w:r>
              <w:rPr>
                <w:rFonts w:ascii="Calibri" w:hAnsi="Calibri"/>
                <w:sz w:val="22"/>
              </w:rPr>
              <w:t>2.2 GW ESAs represent upside to plan if ramp exceeds 1.2 GW assumption.</w:t>
            </w:r>
          </w:p>
        </w:tc>
      </w:tr>
      <w:tr>
        <w:tc>
          <w:tcPr>
            <w:tcW w:type="dxa" w:w="1728"/>
          </w:tcPr>
          <w:p>
            <w:r>
              <w:rPr>
                <w:rFonts w:ascii="Calibri" w:hAnsi="Calibri"/>
                <w:sz w:val="22"/>
              </w:rPr>
              <w:t>Equity Issuance Plan (2026–2030)</w:t>
            </w:r>
          </w:p>
        </w:tc>
        <w:tc>
          <w:tcPr>
            <w:tcW w:type="dxa" w:w="1728"/>
          </w:tcPr>
          <w:p>
            <w:r>
              <w:rPr>
                <w:rFonts w:ascii="Calibri" w:hAnsi="Calibri"/>
                <w:sz w:val="22"/>
              </w:rPr>
              <w:t>~$4B total; ~$600M sold via ATM in 2026 to date (for 2027+); ~$600M forward equity (May 2025) to settle end of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S&amp;P affirmed BBB+ / Stable in April 2026. Moody’s annual opinion pending.</w:t>
            </w:r>
          </w:p>
        </w:tc>
      </w:tr>
      <w:tr>
        <w:tc>
          <w:tcPr>
            <w:tcW w:type="dxa" w:w="1728"/>
          </w:tcPr>
          <w:p>
            <w:r>
              <w:rPr>
                <w:rFonts w:ascii="Calibri" w:hAnsi="Calibri"/>
                <w:sz w:val="22"/>
              </w:rPr>
              <w:t>Missouri Electric Rate Case</w:t>
            </w:r>
          </w:p>
        </w:tc>
        <w:tc>
          <w:tcPr>
            <w:tcW w:type="dxa" w:w="1728"/>
          </w:tcPr>
          <w:p>
            <w:r>
              <w:rPr>
                <w:rFonts w:ascii="Calibri" w:hAnsi="Calibri"/>
                <w:sz w:val="22"/>
              </w:rPr>
              <w:t>Expected to file mid-2026 (flagged on Q1 call)</w:t>
            </w:r>
          </w:p>
        </w:tc>
        <w:tc>
          <w:tcPr>
            <w:tcW w:type="dxa" w:w="1728"/>
          </w:tcPr>
          <w:p>
            <w:r>
              <w:rPr>
                <w:rFonts w:ascii="Calibri" w:hAnsi="Calibri"/>
                <w:sz w:val="22"/>
              </w:rPr>
              <w:t>↑ Filed June 26, 2026: $343M revenue increase, 10.25% ROE, $16.7B rate base; decision expected May 2027, new rates June 2027</w:t>
            </w:r>
          </w:p>
        </w:tc>
        <w:tc>
          <w:tcPr>
            <w:tcW w:type="dxa" w:w="1728"/>
          </w:tcPr>
          <w:p>
            <w:r>
              <w:rPr>
                <w:rFonts w:ascii="Calibri" w:hAnsi="Calibri"/>
                <w:sz w:val="22"/>
              </w:rPr>
              <w:t>N/A</w:t>
            </w:r>
          </w:p>
        </w:tc>
        <w:tc>
          <w:tcPr>
            <w:tcW w:type="dxa" w:w="1728"/>
          </w:tcPr>
          <w:p>
            <w:r>
              <w:rPr>
                <w:rFonts w:ascii="Calibri" w:hAnsi="Calibri"/>
                <w:sz w:val="22"/>
              </w:rPr>
              <w:t>↑ Filed as expected; constructive signal. MoPSC proceeding up to 11 months.</w:t>
            </w:r>
          </w:p>
        </w:tc>
      </w:tr>
      <w:tr>
        <w:tc>
          <w:tcPr>
            <w:tcW w:type="dxa" w:w="1728"/>
          </w:tcPr>
          <w:p>
            <w:r>
              <w:rPr>
                <w:rFonts w:ascii="Calibri" w:hAnsi="Calibri"/>
                <w:sz w:val="22"/>
              </w:rPr>
              <w:t>Q2 2026 Tree Trimming Costs</w:t>
            </w:r>
          </w:p>
        </w:tc>
        <w:tc>
          <w:tcPr>
            <w:tcW w:type="dxa" w:w="1728"/>
          </w:tcPr>
          <w:p>
            <w:r>
              <w:rPr>
                <w:rFonts w:ascii="Calibri" w:hAnsi="Calibri"/>
                <w:sz w:val="22"/>
              </w:rPr>
              <w:t>Higher than 2025, particularly in Q2 (flagged on Q1 call)</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Known headwind; likely already in consensus. Part of ongoing reliability investment cycle.</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essentially stable since Q1 earnings, with a brief dip in May (likely reflecting the flagged Q2 tree-trimming cost headwind) before recovering. Consensus is tracking guidance closely — no meaningful divergence — which means the print is unlikely to trigger a large revision move unless ESA news surprises materially.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(c. May 12,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Operating EPS — Q2 2026</w:t>
            </w:r>
          </w:p>
        </w:tc>
        <w:tc>
          <w:tcPr>
            <w:tcW w:type="dxa" w:w="1080"/>
          </w:tcPr>
          <w:p>
            <w:r>
              <w:rPr>
                <w:rFonts w:ascii="Calibri" w:hAnsi="Calibri"/>
                <w:sz w:val="22"/>
              </w:rPr>
              <w:t>N/A — not available in VA as-of snapshot</w:t>
            </w:r>
          </w:p>
        </w:tc>
        <w:tc>
          <w:tcPr>
            <w:tcW w:type="dxa" w:w="1080"/>
          </w:tcPr>
          <w:p>
            <w:r>
              <w:rPr>
                <w:rFonts w:ascii="Calibri" w:hAnsi="Calibri"/>
                <w:sz w:val="22"/>
              </w:rPr>
              <w:t>$1.08</w:t>
            </w:r>
          </w:p>
        </w:tc>
        <w:tc>
          <w:tcPr>
            <w:tcW w:type="dxa" w:w="1080"/>
          </w:tcPr>
          <w:p>
            <w:r>
              <w:rPr>
                <w:rFonts w:ascii="Calibri" w:hAnsi="Calibri"/>
                <w:sz w:val="22"/>
              </w:rPr>
              <w:t>N/A</w:t>
            </w:r>
          </w:p>
        </w:tc>
        <w:tc>
          <w:tcPr>
            <w:tcW w:type="dxa" w:w="1080"/>
          </w:tcPr>
          <w:p>
            <w:r>
              <w:rPr>
                <w:rFonts w:ascii="Calibri" w:hAnsi="Calibri"/>
                <w:sz w:val="22"/>
              </w:rPr>
              <w:t>No quarterly guidance issued</w:t>
            </w:r>
          </w:p>
        </w:tc>
        <w:tc>
          <w:tcPr>
            <w:tcW w:type="dxa" w:w="1080"/>
          </w:tcPr>
          <w:p>
            <w:r>
              <w:rPr>
                <w:rFonts w:ascii="Calibri" w:hAnsi="Calibri"/>
                <w:sz w:val="22"/>
              </w:rPr>
              <w:t>No quarterly guidance issued</w:t>
            </w:r>
          </w:p>
        </w:tc>
        <w:tc>
          <w:tcPr>
            <w:tcW w:type="dxa" w:w="1080"/>
          </w:tcPr>
          <w:p>
            <w:r>
              <w:rPr>
                <w:rFonts w:ascii="Calibri" w:hAnsi="Calibri"/>
                <w:sz w:val="22"/>
              </w:rPr>
              <w:t>N/A</w:t>
            </w:r>
          </w:p>
        </w:tc>
        <w:tc>
          <w:tcPr>
            <w:tcW w:type="dxa" w:w="1080"/>
          </w:tcPr>
          <w:p>
            <w:r>
              <w:rPr>
                <w:rFonts w:ascii="Calibri" w:hAnsi="Calibri"/>
                <w:sz w:val="22"/>
              </w:rPr>
              <w:t>N/A — no quarterly guidance</w:t>
            </w:r>
          </w:p>
        </w:tc>
      </w:tr>
      <w:tr>
        <w:tc>
          <w:tcPr>
            <w:tcW w:type="dxa" w:w="1080"/>
          </w:tcPr>
          <w:p>
            <w:r>
              <w:rPr>
                <w:rFonts w:ascii="Calibri" w:hAnsi="Calibri"/>
                <w:sz w:val="22"/>
              </w:rPr>
              <w:t>Operating EPS — FY 2026</w:t>
            </w:r>
          </w:p>
        </w:tc>
        <w:tc>
          <w:tcPr>
            <w:tcW w:type="dxa" w:w="1080"/>
          </w:tcPr>
          <w:p>
            <w:r>
              <w:rPr>
                <w:rFonts w:ascii="Calibri" w:hAnsi="Calibri"/>
                <w:sz w:val="22"/>
              </w:rPr>
              <w:t>$5.35</w:t>
            </w:r>
          </w:p>
        </w:tc>
        <w:tc>
          <w:tcPr>
            <w:tcW w:type="dxa" w:w="1080"/>
          </w:tcPr>
          <w:p>
            <w:r>
              <w:rPr>
                <w:rFonts w:ascii="Calibri" w:hAnsi="Calibri"/>
                <w:sz w:val="22"/>
              </w:rPr>
              <w:t>$5.38</w:t>
            </w:r>
          </w:p>
        </w:tc>
        <w:tc>
          <w:tcPr>
            <w:tcW w:type="dxa" w:w="1080"/>
          </w:tcPr>
          <w:p>
            <w:r>
              <w:rPr>
                <w:rFonts w:ascii="Calibri" w:hAnsi="Calibri"/>
                <w:sz w:val="22"/>
              </w:rPr>
              <w:t>+0.6%</w:t>
            </w:r>
          </w:p>
        </w:tc>
        <w:tc>
          <w:tcPr>
            <w:tcW w:type="dxa" w:w="1080"/>
          </w:tcPr>
          <w:p>
            <w:r>
              <w:rPr>
                <w:rFonts w:ascii="Calibri" w:hAnsi="Calibri"/>
                <w:sz w:val="22"/>
              </w:rPr>
              <w:t>$5.25–$5.45</w:t>
            </w:r>
          </w:p>
        </w:tc>
        <w:tc>
          <w:tcPr>
            <w:tcW w:type="dxa" w:w="1080"/>
          </w:tcPr>
          <w:p>
            <w:r>
              <w:rPr>
                <w:rFonts w:ascii="Calibri" w:hAnsi="Calibri"/>
                <w:sz w:val="22"/>
              </w:rPr>
              <w:t>$5.25–$5.45 (unchanged)</w:t>
            </w:r>
          </w:p>
        </w:tc>
        <w:tc>
          <w:tcPr>
            <w:tcW w:type="dxa" w:w="1080"/>
          </w:tcPr>
          <w:p>
            <w:r>
              <w:rPr>
                <w:rFonts w:ascii="Calibri" w:hAnsi="Calibri"/>
                <w:sz w:val="22"/>
              </w:rPr>
              <w:t>0%</w:t>
            </w:r>
          </w:p>
        </w:tc>
        <w:tc>
          <w:tcPr>
            <w:tcW w:type="dxa" w:w="1080"/>
          </w:tcPr>
          <w:p>
            <w:r>
              <w:rPr>
                <w:rFonts w:ascii="Calibri" w:hAnsi="Calibri"/>
                <w:sz w:val="22"/>
              </w:rPr>
              <w:t>+0.6% above midpoint ($5.35)</w:t>
            </w:r>
          </w:p>
        </w:tc>
      </w:tr>
      <w:tr>
        <w:tc>
          <w:tcPr>
            <w:tcW w:type="dxa" w:w="1080"/>
          </w:tcPr>
          <w:p>
            <w:r>
              <w:rPr>
                <w:rFonts w:ascii="Calibri" w:hAnsi="Calibri"/>
                <w:sz w:val="22"/>
              </w:rPr>
              <w:t>Operating EPS — FY 2027</w:t>
            </w:r>
          </w:p>
        </w:tc>
        <w:tc>
          <w:tcPr>
            <w:tcW w:type="dxa" w:w="1080"/>
          </w:tcPr>
          <w:p>
            <w:r>
              <w:rPr>
                <w:rFonts w:ascii="Calibri" w:hAnsi="Calibri"/>
                <w:sz w:val="22"/>
              </w:rPr>
              <w:t>N/A — not available in VA as-of snapshot</w:t>
            </w:r>
          </w:p>
        </w:tc>
        <w:tc>
          <w:tcPr>
            <w:tcW w:type="dxa" w:w="1080"/>
          </w:tcPr>
          <w:p>
            <w:r>
              <w:rPr>
                <w:rFonts w:ascii="Calibri" w:hAnsi="Calibri"/>
                <w:sz w:val="22"/>
              </w:rPr>
              <w:t>$5.78</w:t>
            </w:r>
          </w:p>
        </w:tc>
        <w:tc>
          <w:tcPr>
            <w:tcW w:type="dxa" w:w="1080"/>
          </w:tcPr>
          <w:p>
            <w:r>
              <w:rPr>
                <w:rFonts w:ascii="Calibri" w:hAnsi="Calibri"/>
                <w:sz w:val="22"/>
              </w:rPr>
              <w:t>N/A</w:t>
            </w:r>
          </w:p>
        </w:tc>
        <w:tc>
          <w:tcPr>
            <w:tcW w:type="dxa" w:w="1080"/>
          </w:tcPr>
          <w:p>
            <w:r>
              <w:rPr>
                <w:rFonts w:ascii="Calibri" w:hAnsi="Calibri"/>
                <w:sz w:val="22"/>
              </w:rPr>
              <w:t>6–8% CAGR from 2026 midpoint implies ~$5.67–$5.78</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At upper end of implied range</w:t>
            </w:r>
          </w:p>
        </w:tc>
      </w:tr>
      <w:tr>
        <w:tc>
          <w:tcPr>
            <w:tcW w:type="dxa" w:w="1080"/>
          </w:tcPr>
          <w:p>
            <w:r>
              <w:rPr>
                <w:rFonts w:ascii="Calibri" w:hAnsi="Calibri"/>
                <w:sz w:val="22"/>
              </w:rPr>
              <w:t>Total Revenue — Q2 2026</w:t>
            </w:r>
          </w:p>
        </w:tc>
        <w:tc>
          <w:tcPr>
            <w:tcW w:type="dxa" w:w="1080"/>
          </w:tcPr>
          <w:p>
            <w:r>
              <w:rPr>
                <w:rFonts w:ascii="Calibri" w:hAnsi="Calibri"/>
                <w:sz w:val="22"/>
              </w:rPr>
              <w:t>$2,456M</w:t>
            </w:r>
          </w:p>
        </w:tc>
        <w:tc>
          <w:tcPr>
            <w:tcW w:type="dxa" w:w="1080"/>
          </w:tcPr>
          <w:p>
            <w:r>
              <w:rPr>
                <w:rFonts w:ascii="Calibri" w:hAnsi="Calibri"/>
                <w:sz w:val="22"/>
              </w:rPr>
              <w:t>$2,346M</w:t>
            </w:r>
          </w:p>
        </w:tc>
        <w:tc>
          <w:tcPr>
            <w:tcW w:type="dxa" w:w="1080"/>
          </w:tcPr>
          <w:p>
            <w:r>
              <w:rPr>
                <w:rFonts w:ascii="Calibri" w:hAnsi="Calibri"/>
                <w:sz w:val="22"/>
              </w:rPr>
              <w:t>-4.5%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N/A — not available in VA as-of snapshot</w:t>
            </w:r>
          </w:p>
        </w:tc>
        <w:tc>
          <w:tcPr>
            <w:tcW w:type="dxa" w:w="1080"/>
          </w:tcPr>
          <w:p>
            <w:r>
              <w:rPr>
                <w:rFonts w:ascii="Calibri" w:hAnsi="Calibri"/>
                <w:sz w:val="22"/>
              </w:rPr>
              <w:t>$9.16B</w:t>
            </w:r>
          </w:p>
        </w:tc>
        <w:tc>
          <w:tcPr>
            <w:tcW w:type="dxa" w:w="1080"/>
          </w:tcPr>
          <w:p>
            <w:r>
              <w:rPr>
                <w:rFonts w:ascii="Calibri" w:hAnsi="Calibri"/>
                <w:sz w:val="22"/>
              </w:rPr>
              <w:t>N/A</w:t>
            </w:r>
          </w:p>
        </w:tc>
        <w:tc>
          <w:tcPr>
            <w:tcW w:type="dxa" w:w="1080"/>
          </w:tcPr>
          <w:p>
            <w:r>
              <w:rPr>
                <w:rFonts w:ascii="Calibri" w:hAnsi="Calibri"/>
                <w:sz w:val="22"/>
              </w:rPr>
              <w:t>No explicit revenue guidance</w:t>
            </w:r>
          </w:p>
        </w:tc>
        <w:tc>
          <w:tcPr>
            <w:tcW w:type="dxa" w:w="1080"/>
          </w:tcPr>
          <w:p>
            <w:r>
              <w:rPr>
                <w:rFonts w:ascii="Calibri" w:hAnsi="Calibri"/>
                <w:sz w:val="22"/>
              </w:rPr>
              <w:t>No explicit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Expenditures — FY 2026</w:t>
            </w:r>
          </w:p>
        </w:tc>
        <w:tc>
          <w:tcPr>
            <w:tcW w:type="dxa" w:w="1080"/>
          </w:tcPr>
          <w:p>
            <w:r>
              <w:rPr>
                <w:rFonts w:ascii="Calibri" w:hAnsi="Calibri"/>
                <w:sz w:val="22"/>
              </w:rPr>
              <w:t>$5,518M</w:t>
            </w:r>
          </w:p>
        </w:tc>
        <w:tc>
          <w:tcPr>
            <w:tcW w:type="dxa" w:w="1080"/>
          </w:tcPr>
          <w:p>
            <w:r>
              <w:rPr>
                <w:rFonts w:ascii="Calibri" w:hAnsi="Calibri"/>
                <w:sz w:val="22"/>
              </w:rPr>
              <w:t>$5,598M</w:t>
            </w:r>
          </w:p>
        </w:tc>
        <w:tc>
          <w:tcPr>
            <w:tcW w:type="dxa" w:w="1080"/>
          </w:tcPr>
          <w:p>
            <w:r>
              <w:rPr>
                <w:rFonts w:ascii="Calibri" w:hAnsi="Calibri"/>
                <w:sz w:val="22"/>
              </w:rPr>
              <w:t>+1.5%</w:t>
            </w:r>
          </w:p>
        </w:tc>
        <w:tc>
          <w:tcPr>
            <w:tcW w:type="dxa" w:w="1080"/>
          </w:tcPr>
          <w:p>
            <w:r>
              <w:rPr>
                <w:rFonts w:ascii="Calibri" w:hAnsi="Calibri"/>
                <w:sz w:val="22"/>
              </w:rPr>
              <w:t>~$5.6B (5-yr plan implies ~$6.4B/yr avg.)</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In line with plan</w:t>
            </w:r>
          </w:p>
        </w:tc>
      </w:tr>
    </w:tbl>
    <w:p>
      <w:r>
        <w:rPr>
          <w:rFonts w:ascii="Calibri" w:hAnsi="Calibri"/>
          <w:i/>
          <w:color w:val="525866"/>
          <w:sz w:val="22"/>
        </w:rPr>
        <w:t>Source: Visible Alpha Consensus and Actuals Data. Estimate revision trajectory from monthly EPS consensus series (Aug 2025–Jul 2026): Q2 2026 EPS estimate peaked at $1.08 in Aug 2025, dipped to $1.02 in May 2026 (reflecting flagged Q2 tree-trimming cost headwind), and recovered to $1.08 by July 2026. FY 2026 consensus of $5.38 is essentially flat to the post-Q1 baseline of $5.35, confirming estimates are tracking guidance rather than diverging.</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AEE has modestly outperformed XLU since Q1 earnings (+1.2% vs. XLU flat), driven primarily by multiple expansion on the data center growth narrative rather than estimate revisions. The stock’s brief spike to $118 in late June (around the Missouri rate case filing) and subsequent pullback to ~$110 suggests the market is pricing in the regulatory story but remains cautious on execution.</w:t>
      </w:r>
    </w:p>
    <w:p>
      <w:pPr>
        <w:pStyle w:val="Heading2"/>
      </w:pPr>
      <w:r>
        <w:rPr>
          <w:rFonts w:ascii="Calibri" w:hAnsi="Calibri"/>
          <w:b/>
          <w:color w:val="3B4259"/>
          <w:sz w:val="28"/>
        </w:rPr>
        <w:t>AEE vs. XLU vs. S&amp;P 500 — Indexed Performance Since Q1 2026 Earnings (May 5,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AEE (Indexed)</w:t>
            </w:r>
          </w:p>
        </w:tc>
        <w:tc>
          <w:tcPr>
            <w:tcW w:type="dxa" w:w="1728"/>
            <w:shd w:val="clear" w:color="auto" w:fill="3B4259"/>
          </w:tcPr>
          <w:p>
            <w:r>
              <w:rPr>
                <w:rFonts w:ascii="Calibri" w:hAnsi="Calibri"/>
                <w:b/>
                <w:color w:val="FFFFFF"/>
                <w:sz w:val="22"/>
              </w:rPr>
              <w:t>XLU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5,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Release</w:t>
            </w:r>
          </w:p>
        </w:tc>
      </w:tr>
      <w:tr>
        <w:tc>
          <w:tcPr>
            <w:tcW w:type="dxa" w:w="1728"/>
          </w:tcPr>
          <w:p>
            <w:r>
              <w:rPr>
                <w:rFonts w:ascii="Calibri" w:hAnsi="Calibri"/>
                <w:sz w:val="22"/>
              </w:rPr>
              <w:t>May 15, 2026</w:t>
            </w:r>
          </w:p>
        </w:tc>
        <w:tc>
          <w:tcPr>
            <w:tcW w:type="dxa" w:w="1728"/>
          </w:tcPr>
          <w:p>
            <w:r>
              <w:rPr>
                <w:rFonts w:ascii="Calibri" w:hAnsi="Calibri"/>
                <w:sz w:val="22"/>
              </w:rPr>
              <w:t>95.3</w:t>
            </w:r>
          </w:p>
        </w:tc>
        <w:tc>
          <w:tcPr>
            <w:tcW w:type="dxa" w:w="1728"/>
          </w:tcPr>
          <w:p>
            <w:r>
              <w:rPr>
                <w:rFonts w:ascii="Calibri" w:hAnsi="Calibri"/>
                <w:sz w:val="22"/>
              </w:rPr>
              <w:t>94.6</w:t>
            </w:r>
          </w:p>
        </w:tc>
        <w:tc>
          <w:tcPr>
            <w:tcW w:type="dxa" w:w="1728"/>
          </w:tcPr>
          <w:p>
            <w:r>
              <w:rPr>
                <w:rFonts w:ascii="Calibri" w:hAnsi="Calibri"/>
                <w:sz w:val="22"/>
              </w:rPr>
              <w:t>102.1</w:t>
            </w:r>
          </w:p>
        </w:tc>
        <w:tc>
          <w:tcPr>
            <w:tcW w:type="dxa" w:w="1728"/>
          </w:tcPr>
          <w:p>
            <w:r>
              <w:rPr>
                <w:rFonts w:ascii="Calibri" w:hAnsi="Calibri"/>
                <w:sz w:val="22"/>
              </w:rPr>
              <w:t>—</w:t>
            </w:r>
          </w:p>
        </w:tc>
      </w:tr>
      <w:tr>
        <w:tc>
          <w:tcPr>
            <w:tcW w:type="dxa" w:w="1728"/>
          </w:tcPr>
          <w:p>
            <w:r>
              <w:rPr>
                <w:rFonts w:ascii="Calibri" w:hAnsi="Calibri"/>
                <w:sz w:val="22"/>
              </w:rPr>
              <w:t>Jun 1, 2026</w:t>
            </w:r>
          </w:p>
        </w:tc>
        <w:tc>
          <w:tcPr>
            <w:tcW w:type="dxa" w:w="1728"/>
          </w:tcPr>
          <w:p>
            <w:r>
              <w:rPr>
                <w:rFonts w:ascii="Calibri" w:hAnsi="Calibri"/>
                <w:sz w:val="22"/>
              </w:rPr>
              <w:t>94.1</w:t>
            </w:r>
          </w:p>
        </w:tc>
        <w:tc>
          <w:tcPr>
            <w:tcW w:type="dxa" w:w="1728"/>
          </w:tcPr>
          <w:p>
            <w:r>
              <w:rPr>
                <w:rFonts w:ascii="Calibri" w:hAnsi="Calibri"/>
                <w:sz w:val="22"/>
              </w:rPr>
              <w:t>92.9</w:t>
            </w:r>
          </w:p>
        </w:tc>
        <w:tc>
          <w:tcPr>
            <w:tcW w:type="dxa" w:w="1728"/>
          </w:tcPr>
          <w:p>
            <w:r>
              <w:rPr>
                <w:rFonts w:ascii="Calibri" w:hAnsi="Calibri"/>
                <w:sz w:val="22"/>
              </w:rPr>
              <w:t>104.8</w:t>
            </w:r>
          </w:p>
        </w:tc>
        <w:tc>
          <w:tcPr>
            <w:tcW w:type="dxa" w:w="1728"/>
          </w:tcPr>
          <w:p>
            <w:r>
              <w:rPr>
                <w:rFonts w:ascii="Calibri" w:hAnsi="Calibri"/>
                <w:sz w:val="22"/>
              </w:rPr>
              <w:t>—</w:t>
            </w:r>
          </w:p>
        </w:tc>
      </w:tr>
      <w:tr>
        <w:tc>
          <w:tcPr>
            <w:tcW w:type="dxa" w:w="1728"/>
          </w:tcPr>
          <w:p>
            <w:r>
              <w:rPr>
                <w:rFonts w:ascii="Calibri" w:hAnsi="Calibri"/>
                <w:sz w:val="22"/>
              </w:rPr>
              <w:t>Jun 26, 2026</w:t>
            </w:r>
          </w:p>
        </w:tc>
        <w:tc>
          <w:tcPr>
            <w:tcW w:type="dxa" w:w="1728"/>
          </w:tcPr>
          <w:p>
            <w:r>
              <w:rPr>
                <w:rFonts w:ascii="Calibri" w:hAnsi="Calibri"/>
                <w:sz w:val="22"/>
              </w:rPr>
              <w:t>106.0</w:t>
            </w:r>
          </w:p>
        </w:tc>
        <w:tc>
          <w:tcPr>
            <w:tcW w:type="dxa" w:w="1728"/>
          </w:tcPr>
          <w:p>
            <w:r>
              <w:rPr>
                <w:rFonts w:ascii="Calibri" w:hAnsi="Calibri"/>
                <w:sz w:val="22"/>
              </w:rPr>
              <w:t>99.6</w:t>
            </w:r>
          </w:p>
        </w:tc>
        <w:tc>
          <w:tcPr>
            <w:tcW w:type="dxa" w:w="1728"/>
          </w:tcPr>
          <w:p>
            <w:r>
              <w:rPr>
                <w:rFonts w:ascii="Calibri" w:hAnsi="Calibri"/>
                <w:sz w:val="22"/>
              </w:rPr>
              <w:t>100.7</w:t>
            </w:r>
          </w:p>
        </w:tc>
        <w:tc>
          <w:tcPr>
            <w:tcW w:type="dxa" w:w="1728"/>
          </w:tcPr>
          <w:p>
            <w:r>
              <w:rPr>
                <w:rFonts w:ascii="Calibri" w:hAnsi="Calibri"/>
                <w:sz w:val="22"/>
              </w:rPr>
              <w:t>Missouri Rate Case Filed ($343M request)</w:t>
            </w:r>
          </w:p>
        </w:tc>
      </w:tr>
      <w:tr>
        <w:tc>
          <w:tcPr>
            <w:tcW w:type="dxa" w:w="1728"/>
          </w:tcPr>
          <w:p>
            <w:r>
              <w:rPr>
                <w:rFonts w:ascii="Calibri" w:hAnsi="Calibri"/>
                <w:sz w:val="22"/>
              </w:rPr>
              <w:t>Jun 29, 2026</w:t>
            </w:r>
          </w:p>
        </w:tc>
        <w:tc>
          <w:tcPr>
            <w:tcW w:type="dxa" w:w="1728"/>
          </w:tcPr>
          <w:p>
            <w:r>
              <w:rPr>
                <w:rFonts w:ascii="Calibri" w:hAnsi="Calibri"/>
                <w:sz w:val="22"/>
              </w:rPr>
              <w:t>102.6</w:t>
            </w:r>
          </w:p>
        </w:tc>
        <w:tc>
          <w:tcPr>
            <w:tcW w:type="dxa" w:w="1728"/>
          </w:tcPr>
          <w:p>
            <w:r>
              <w:rPr>
                <w:rFonts w:ascii="Calibri" w:hAnsi="Calibri"/>
                <w:sz w:val="22"/>
              </w:rPr>
              <w:t>99.2</w:t>
            </w:r>
          </w:p>
        </w:tc>
        <w:tc>
          <w:tcPr>
            <w:tcW w:type="dxa" w:w="1728"/>
          </w:tcPr>
          <w:p>
            <w:r>
              <w:rPr>
                <w:rFonts w:ascii="Calibri" w:hAnsi="Calibri"/>
                <w:sz w:val="22"/>
              </w:rPr>
              <w:t>102.4</w:t>
            </w:r>
          </w:p>
        </w:tc>
        <w:tc>
          <w:tcPr>
            <w:tcW w:type="dxa" w:w="1728"/>
          </w:tcPr>
          <w:p>
            <w:r>
              <w:rPr>
                <w:rFonts w:ascii="Calibri" w:hAnsi="Calibri"/>
                <w:sz w:val="22"/>
              </w:rPr>
              <w:t>Ameren Missouri $500M Bond Offering</w:t>
            </w:r>
          </w:p>
        </w:tc>
      </w:tr>
      <w:tr>
        <w:tc>
          <w:tcPr>
            <w:tcW w:type="dxa" w:w="1728"/>
          </w:tcPr>
          <w:p>
            <w:r>
              <w:rPr>
                <w:rFonts w:ascii="Calibri" w:hAnsi="Calibri"/>
                <w:sz w:val="22"/>
              </w:rPr>
              <w:t>Jul 28, 2026</w:t>
            </w:r>
          </w:p>
        </w:tc>
        <w:tc>
          <w:tcPr>
            <w:tcW w:type="dxa" w:w="1728"/>
          </w:tcPr>
          <w:p>
            <w:r>
              <w:rPr>
                <w:rFonts w:ascii="Calibri" w:hAnsi="Calibri"/>
                <w:sz w:val="22"/>
              </w:rPr>
              <w:t>100.8</w:t>
            </w:r>
          </w:p>
        </w:tc>
        <w:tc>
          <w:tcPr>
            <w:tcW w:type="dxa" w:w="1728"/>
          </w:tcPr>
          <w:p>
            <w:r>
              <w:rPr>
                <w:rFonts w:ascii="Calibri" w:hAnsi="Calibri"/>
                <w:sz w:val="22"/>
              </w:rPr>
              <w:t>98.2</w:t>
            </w:r>
          </w:p>
        </w:tc>
        <w:tc>
          <w:tcPr>
            <w:tcW w:type="dxa" w:w="1728"/>
          </w:tcPr>
          <w:p>
            <w:r>
              <w:rPr>
                <w:rFonts w:ascii="Calibri" w:hAnsi="Calibri"/>
                <w:sz w:val="22"/>
              </w:rPr>
              <w:t>102.4</w:t>
            </w:r>
          </w:p>
        </w:tc>
        <w:tc>
          <w:tcPr>
            <w:tcW w:type="dxa" w:w="1728"/>
          </w:tcPr>
          <w:p>
            <w:r>
              <w:rPr>
                <w:rFonts w:ascii="Calibri" w:hAnsi="Calibri"/>
                <w:sz w:val="22"/>
              </w:rPr>
              <w:t>Peer Q2 earnings (CMS, CNP, DTE, ETR)</w:t>
            </w:r>
          </w:p>
        </w:tc>
      </w:tr>
    </w:tbl>
    <w:p>
      <w:r>
        <w:rPr>
          <w:rFonts w:ascii="Calibri" w:hAnsi="Calibri"/>
          <w:i/>
          <w:color w:val="525866"/>
          <w:sz w:val="22"/>
        </w:rPr>
        <w:t>Note: Indexed to 100 at May 5, 2026 close (AEE: $111.64, XLU: $46.37, SPY: $723.77). As of July 28, 2026: AEE $112.51 (+0.8%), XLU $45.52 (-1.8%), SPY $740.86 (+2.4%). AEE has outperformed XLU by ~260 bps since Q1 earnings. Sector ETF used: XLU (Utilities Select Sector SPDR Fund) — appropriate for AEE’s regulated electric and gas utility sub-sector. Source: Stock Price Data.</w:t>
      </w:r>
    </w:p>
    <w:p>
      <w:r>
        <w:rPr>
          <w:rFonts w:ascii="Calibri" w:hAnsi="Calibri"/>
          <w:b/>
          <w:color w:val="525866"/>
          <w:sz w:val="22"/>
        </w:rPr>
        <w:t xml:space="preserve">Performance Decomposition: </w:t>
      </w:r>
      <w:r>
        <w:rPr>
          <w:rFonts w:ascii="Calibri" w:hAnsi="Calibri"/>
          <w:color w:val="525866"/>
          <w:sz w:val="22"/>
        </w:rPr>
        <w:t>Over the 6-month window, AEE’s +5.8% price gain was driven by a combination of multiple expansion (+4.2% on EV/EBITDA basis) and modest earnings growth, with the NTM P/E expanding from ~19.1x to ~19.9x. Over the trailing 1 month, the stock has given back -4.0%, with multiple contraction (-5.4% on P/E) the primary driver, suggesting some near-term profit-taking ahead of the print. The 12-month return of +11.9% has been supported by both earnings growth and a modest re-rating. Source: Stock Performance Decomposition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26 Missouri electric rate case filing — a $343M revenue increase request that validates the capital deployment story and sets up a constructive regulatory outcome by mid-2027. The $500M bond offering and ongoing ATM equity execution confirm the financing plan is on track.</w:t>
      </w:r>
    </w:p>
    <w:p>
      <w:pPr>
        <w:pStyle w:val="ListBullet"/>
        <w:ind w:left="360" w:hanging="360"/>
      </w:pPr>
      <w:r>
        <w:rPr>
          <w:rFonts w:ascii="Calibri" w:hAnsi="Calibri"/>
          <w:b/>
          <w:color w:val="525866"/>
          <w:sz w:val="22"/>
        </w:rPr>
        <w:t>June 26, 2026 — Ameren Missouri Files $343M Electric Rate Case with MoPSC.</w:t>
      </w:r>
      <w:r>
        <w:rPr>
          <w:rFonts w:ascii="Calibri" w:hAnsi="Calibri"/>
          <w:color w:val="525866"/>
          <w:sz w:val="22"/>
        </w:rPr>
        <w:t xml:space="preserve"> Requested a $343M annual revenue increase based on a $16.7B rate base, 10.25% ROE, and 52% equity ratio, with a test year ended March 31, 2026. MoPSC decision expected by May 2027; new rates effective June 2027. </w:t>
      </w:r>
      <w:r>
        <w:rPr>
          <w:rFonts w:ascii="Calibri" w:hAnsi="Calibri"/>
          <w:b/>
          <w:color w:val="525866"/>
          <w:sz w:val="22"/>
        </w:rPr>
        <w:t xml:space="preserve">Implication: </w:t>
      </w:r>
      <w:r>
        <w:rPr>
          <w:rFonts w:ascii="Calibri" w:hAnsi="Calibri"/>
          <w:color w:val="525866"/>
          <w:sz w:val="22"/>
        </w:rPr>
        <w:t>Constructive regulatory signal; validates the scale of infrastructure investment and sets up a meaningful rate base recovery mechanism. The 10.25% ROE request is in line with peer filings (CMS filed 10.25% ROE in its June rate case). Source: AEE 8-K, June 26, 2026.</w:t>
      </w:r>
    </w:p>
    <w:p>
      <w:pPr>
        <w:pStyle w:val="ListBullet"/>
        <w:ind w:left="360" w:hanging="360"/>
      </w:pPr>
      <w:r>
        <w:rPr>
          <w:rFonts w:ascii="Calibri" w:hAnsi="Calibri"/>
          <w:b/>
          <w:color w:val="525866"/>
          <w:sz w:val="22"/>
        </w:rPr>
        <w:t>June 29, 2026 — Ameren Missouri Completes $500M Bond Offering (5.75% First Mortgage Bonds due 2056).</w:t>
      </w:r>
      <w:r>
        <w:rPr>
          <w:rFonts w:ascii="Calibri" w:hAnsi="Calibri"/>
          <w:color w:val="525866"/>
          <w:sz w:val="22"/>
        </w:rPr>
        <w:t xml:space="preserve"> Net proceeds of ~$492M. </w:t>
      </w:r>
      <w:r>
        <w:rPr>
          <w:rFonts w:ascii="Calibri" w:hAnsi="Calibri"/>
          <w:b/>
          <w:color w:val="525866"/>
          <w:sz w:val="22"/>
        </w:rPr>
        <w:t xml:space="preserve">Implication: </w:t>
      </w:r>
      <w:r>
        <w:rPr>
          <w:rFonts w:ascii="Calibri" w:hAnsi="Calibri"/>
          <w:color w:val="525866"/>
          <w:sz w:val="22"/>
        </w:rPr>
        <w:t>Confirms debt financing plan is executing on schedule; long-duration issuance at 5.75% locks in cost of capital for infrastructure investment. Source: AEE 8-K, June 29, 2026.</w:t>
      </w:r>
    </w:p>
    <w:p>
      <w:pPr>
        <w:pStyle w:val="ListBullet"/>
        <w:ind w:left="360" w:hanging="360"/>
      </w:pPr>
      <w:r>
        <w:rPr>
          <w:rFonts w:ascii="Calibri" w:hAnsi="Calibri"/>
          <w:b/>
          <w:color w:val="525866"/>
          <w:sz w:val="22"/>
        </w:rPr>
        <w:t>May 5–6, 2026 — Q1 2026 Earnings: Beat on EPS, Reaffirmed FY Guidance.</w:t>
      </w:r>
      <w:r>
        <w:rPr>
          <w:rFonts w:ascii="Calibri" w:hAnsi="Calibri"/>
          <w:color w:val="525866"/>
          <w:sz w:val="22"/>
        </w:rPr>
        <w:t xml:space="preserve"> Reported $1.28 operating EPS vs. ~$1.18 consensus (+8.1% beat). Reaffirmed $5.25–$5.45 FY 2026 guidance. Confirmed 2.2 GW ESA sites secured, groundbreakings expected in Q2 2026. Flagged higher Q2 tree-trimming costs. </w:t>
      </w:r>
      <w:r>
        <w:rPr>
          <w:rFonts w:ascii="Calibri" w:hAnsi="Calibri"/>
          <w:b/>
          <w:color w:val="525866"/>
          <w:sz w:val="22"/>
        </w:rPr>
        <w:t xml:space="preserve">Implication: </w:t>
      </w:r>
      <w:r>
        <w:rPr>
          <w:rFonts w:ascii="Calibri" w:hAnsi="Calibri"/>
          <w:color w:val="525866"/>
          <w:sz w:val="22"/>
        </w:rPr>
        <w:t>Strong Q1 beat sets a positive tone; Q2 groundbreaking confirmation is the key watch item for the upcoming print. Source: AEE Q1 2026 Earnings Call Transcript.</w:t>
      </w:r>
    </w:p>
    <w:p>
      <w:pPr>
        <w:pStyle w:val="ListBullet"/>
        <w:ind w:left="360" w:hanging="360"/>
      </w:pPr>
      <w:r>
        <w:rPr>
          <w:rFonts w:ascii="Calibri" w:hAnsi="Calibri"/>
          <w:b/>
          <w:color w:val="525866"/>
          <w:sz w:val="22"/>
        </w:rPr>
        <w:t>May 18, 2026 — Ameren Shareholders Elect Directors, Approve Executive Pay and Auditor.</w:t>
      </w:r>
      <w:r>
        <w:rPr>
          <w:rFonts w:ascii="Calibri" w:hAnsi="Calibri"/>
          <w:color w:val="525866"/>
          <w:sz w:val="22"/>
        </w:rPr>
        <w:t xml:space="preserve"> Routine annual meeting; no material governance changes. </w:t>
      </w:r>
      <w:r>
        <w:rPr>
          <w:rFonts w:ascii="Calibri" w:hAnsi="Calibri"/>
          <w:b/>
          <w:color w:val="525866"/>
          <w:sz w:val="22"/>
        </w:rPr>
        <w:t xml:space="preserve">Implication: </w:t>
      </w:r>
      <w:r>
        <w:rPr>
          <w:rFonts w:ascii="Calibri" w:hAnsi="Calibri"/>
          <w:color w:val="525866"/>
          <w:sz w:val="22"/>
        </w:rPr>
        <w:t>No material read-through for the earnings setup. Source: AEE 8-K, May 18, 2026.</w:t>
      </w:r>
    </w:p>
    <w:p>
      <w:pPr>
        <w:pStyle w:val="ListBullet"/>
        <w:ind w:left="360" w:hanging="360"/>
      </w:pPr>
      <w:r>
        <w:rPr>
          <w:rFonts w:ascii="Calibri" w:hAnsi="Calibri"/>
          <w:b/>
          <w:color w:val="525866"/>
          <w:sz w:val="22"/>
        </w:rPr>
        <w:t>July 29, 2026 — NEE/Brookfield Announce $100B Data Center Campus in Kentucky (1.2 GW compute, up to 1.8 GW grid supply, 2 GW gas + 2.6 GW storage by NEE).</w:t>
      </w:r>
      <w:r>
        <w:rPr>
          <w:rFonts w:ascii="Calibri" w:hAnsi="Calibri"/>
          <w:color w:val="525866"/>
          <w:sz w:val="22"/>
        </w:rPr>
        <w:t xml:space="preserve"> </w:t>
      </w:r>
      <w:r>
        <w:rPr>
          <w:rFonts w:ascii="Calibri" w:hAnsi="Calibri"/>
          <w:b/>
          <w:color w:val="525866"/>
          <w:sz w:val="22"/>
        </w:rPr>
        <w:t xml:space="preserve">Implication: </w:t>
      </w:r>
      <w:r>
        <w:rPr>
          <w:rFonts w:ascii="Calibri" w:hAnsi="Calibri"/>
          <w:color w:val="525866"/>
          <w:sz w:val="22"/>
        </w:rPr>
        <w:t>Reinforces the secular data center demand theme that underpins AEE’s growth story; validates the scale of utility investment required to serve hyperscale customers. Positive read-through for AEE’s ESA pipeline narrative. Source: Reuters, July 29, 2026.</w:t>
      </w:r>
    </w:p>
    <w:p>
      <w:pPr>
        <w:pStyle w:val="ListBullet"/>
        <w:ind w:left="360" w:hanging="360"/>
      </w:pPr>
      <w:r>
        <w:rPr>
          <w:rFonts w:ascii="Calibri" w:hAnsi="Calibri"/>
          <w:b/>
          <w:color w:val="525866"/>
          <w:sz w:val="22"/>
        </w:rPr>
        <w:t>July 23, 2026 — Trump Expands Voluntary Pledge with Utilities/Governors to Shield Consumers from Data Center-Driven Rate Increases.</w:t>
      </w:r>
      <w:r>
        <w:rPr>
          <w:rFonts w:ascii="Calibri" w:hAnsi="Calibri"/>
          <w:color w:val="525866"/>
          <w:sz w:val="22"/>
        </w:rPr>
        <w:t xml:space="preserve"> Nearly 200 entities including major utilities committed. </w:t>
      </w:r>
      <w:r>
        <w:rPr>
          <w:rFonts w:ascii="Calibri" w:hAnsi="Calibri"/>
          <w:b/>
          <w:color w:val="525866"/>
          <w:sz w:val="22"/>
        </w:rPr>
        <w:t xml:space="preserve">Implication: </w:t>
      </w:r>
      <w:r>
        <w:rPr>
          <w:rFonts w:ascii="Calibri" w:hAnsi="Calibri"/>
          <w:color w:val="525866"/>
          <w:sz w:val="22"/>
        </w:rPr>
        <w:t>Political pressure on utilities to demonstrate customer affordability benefits from large load growth; AEE’s large load tariff structure (which requires new large load customers to bear all costs to serve them) is well-positioned to satisfy this requirement. Source: Washington Post, July 23, 2026.</w:t>
      </w:r>
    </w:p>
    <w:p>
      <w:pPr>
        <w:pStyle w:val="ListBullet"/>
        <w:ind w:left="360" w:hanging="360"/>
      </w:pPr>
      <w:r>
        <w:rPr>
          <w:rFonts w:ascii="Calibri" w:hAnsi="Calibri"/>
          <w:b/>
          <w:color w:val="525866"/>
          <w:sz w:val="22"/>
        </w:rPr>
        <w:t>July 22, 2026 — PJM Grid Disturbance: 3+ GW of Data Center Load Disconnected Simultaneously in Northern Virginia.</w:t>
      </w:r>
      <w:r>
        <w:rPr>
          <w:rFonts w:ascii="Calibri" w:hAnsi="Calibri"/>
          <w:color w:val="525866"/>
          <w:sz w:val="22"/>
        </w:rPr>
        <w:t xml:space="preserve"> Event took 10+ minutes to stabilize; highlighted grid reliability risks from large, sudden load changes. </w:t>
      </w:r>
      <w:r>
        <w:rPr>
          <w:rFonts w:ascii="Calibri" w:hAnsi="Calibri"/>
          <w:b/>
          <w:color w:val="525866"/>
          <w:sz w:val="22"/>
        </w:rPr>
        <w:t xml:space="preserve">Implication: </w:t>
      </w:r>
      <w:r>
        <w:rPr>
          <w:rFonts w:ascii="Calibri" w:hAnsi="Calibri"/>
          <w:color w:val="525866"/>
          <w:sz w:val="22"/>
        </w:rPr>
        <w:t>Underscores the importance of AEE’s large load tariff structure and grid investment program; could accelerate regulatory focus on grid hardening and reliability investments, which are core to AEE’s capital plan. Source: Reuters, July 22, 2026.</w:t>
      </w:r>
    </w:p>
    <w:p>
      <w:pPr>
        <w:pStyle w:val="ListBullet"/>
        <w:ind w:left="360" w:hanging="360"/>
      </w:pPr>
      <w:r>
        <w:rPr>
          <w:rFonts w:ascii="Calibri" w:hAnsi="Calibri"/>
          <w:b/>
          <w:color w:val="525866"/>
          <w:sz w:val="22"/>
        </w:rPr>
        <w:t>July 17, 2026 — Utility Industry Consolidation Commentary.</w:t>
      </w:r>
      <w:r>
        <w:rPr>
          <w:rFonts w:ascii="Calibri" w:hAnsi="Calibri"/>
          <w:color w:val="525866"/>
          <w:sz w:val="22"/>
        </w:rPr>
        <w:t xml:space="preserve"> Analysts noted smaller utilities ($5–15B market cap) may consider mergers to access capital for AI-driven grid demands. </w:t>
      </w:r>
      <w:r>
        <w:rPr>
          <w:rFonts w:ascii="Calibri" w:hAnsi="Calibri"/>
          <w:b/>
          <w:color w:val="525866"/>
          <w:sz w:val="22"/>
        </w:rPr>
        <w:t xml:space="preserve">Implication: </w:t>
      </w:r>
      <w:r>
        <w:rPr>
          <w:rFonts w:ascii="Calibri" w:hAnsi="Calibri"/>
          <w:color w:val="525866"/>
          <w:sz w:val="22"/>
        </w:rPr>
        <w:t>AEE (~$28B market cap) is above the consolidation-risk threshold; could be a beneficiary if smaller peers are acquired and AEE gains competitive advantage in attracting large load customers. Source: Industry commentary, July 17, 2026.</w:t>
      </w:r>
    </w:p>
    <w:p>
      <w:pPr>
        <w:pStyle w:val="ListBullet"/>
        <w:ind w:left="360" w:hanging="360"/>
      </w:pPr>
      <w:r>
        <w:rPr>
          <w:rFonts w:ascii="Calibri" w:hAnsi="Calibri"/>
          <w:b/>
          <w:color w:val="525866"/>
          <w:sz w:val="22"/>
        </w:rPr>
        <w:t>April 2026 — S&amp;P Affirms AEE BBB+ / Stable Outlook.</w:t>
      </w:r>
      <w:r>
        <w:rPr>
          <w:rFonts w:ascii="Calibri" w:hAnsi="Calibri"/>
          <w:color w:val="525866"/>
          <w:sz w:val="22"/>
        </w:rPr>
        <w:t xml:space="preserve"> Moody’s annual credit opinion pending. </w:t>
      </w:r>
      <w:r>
        <w:rPr>
          <w:rFonts w:ascii="Calibri" w:hAnsi="Calibri"/>
          <w:b/>
          <w:color w:val="525866"/>
          <w:sz w:val="22"/>
        </w:rPr>
        <w:t xml:space="preserve">Implication: </w:t>
      </w:r>
      <w:r>
        <w:rPr>
          <w:rFonts w:ascii="Calibri" w:hAnsi="Calibri"/>
          <w:color w:val="525866"/>
          <w:sz w:val="22"/>
        </w:rPr>
        <w:t>Credit stability confirmed; Moody’s opinion (expected in coming weeks per Q1 call) is a near-term watch item. FFO/debt above 17% Moody’s threshold is critical. Source: AEE Q1 2026 Earnings Call Transcript.</w:t>
      </w:r>
    </w:p>
    <w:p>
      <w:r>
        <w:br w:type="page"/>
      </w:r>
    </w:p>
    <w:p>
      <w:pPr>
        <w:pStyle w:val="Heading1"/>
        <w:pBdr>
          <w:bottom w:val="single" w:sz="4" w:space="1" w:color="FB9120"/>
        </w:pBdr>
      </w:pPr>
      <w:r>
        <w:rPr>
          <w:rFonts w:ascii="Calibri" w:hAnsi="Calibri"/>
          <w:b/>
          <w:color w:val="3B4259"/>
          <w:sz w:val="40"/>
        </w:rPr>
        <w:t>7. Peer Commentary Read-Throughs (Q2 2026 Reporting Period)</w:t>
      </w:r>
    </w:p>
    <w:p>
      <w:r>
        <w:rPr>
          <w:rFonts w:ascii="Calibri" w:hAnsi="Calibri"/>
          <w:b/>
          <w:color w:val="525866"/>
          <w:sz w:val="22"/>
        </w:rPr>
        <w:t xml:space="preserve">Key Takeaway: </w:t>
      </w:r>
      <w:r>
        <w:rPr>
          <w:rFonts w:ascii="Calibri" w:hAnsi="Calibri"/>
          <w:color w:val="525866"/>
          <w:sz w:val="22"/>
        </w:rPr>
        <w:t>Peers reporting Q2 2026 results (CMS, CNP, DTE, ETR) uniformly confirm accelerating data center demand, constructive large load tariff structures, and capital plan upside — all direct read-throughs for AEE’s Q2 narrative. The common thread: large load growth is real, tariff structures are being approved, and capital plans are being raised without incremental equity.</w:t>
      </w:r>
    </w:p>
    <w:p>
      <w:r>
        <w:rPr>
          <w:rFonts w:ascii="Calibri" w:hAnsi="Calibri"/>
          <w:b/>
          <w:color w:val="525866"/>
          <w:sz w:val="22"/>
        </w:rPr>
        <w:t xml:space="preserve">Scope note: </w:t>
      </w:r>
      <w:r>
        <w:rPr>
          <w:rFonts w:ascii="Calibri" w:hAnsi="Calibri"/>
          <w:i/>
          <w:color w:val="525866"/>
          <w:sz w:val="22"/>
        </w:rPr>
        <w:t>All commentary below is sourced exclusively from Q2 2026 earnings calls and releases (reported July 28–29, 2026). No prior-quarter historical commentary is included.</w:t>
      </w:r>
    </w:p>
    <w:p>
      <w:pPr>
        <w:pStyle w:val="Heading2"/>
      </w:pPr>
      <w:r>
        <w:rPr>
          <w:rFonts w:ascii="Calibri" w:hAnsi="Calibri"/>
          <w:b/>
          <w:color w:val="3B4259"/>
          <w:sz w:val="28"/>
        </w:rPr>
        <w:t>CMS Energy (CMS) — Q2 2026 Earnings Call, July 28, 2026</w:t>
      </w:r>
    </w:p>
    <w:p>
      <w:r>
        <w:rPr>
          <w:rFonts w:ascii="Calibri" w:hAnsi="Calibri"/>
          <w:b/>
          <w:color w:val="525866"/>
          <w:sz w:val="22"/>
        </w:rPr>
        <w:t xml:space="preserve">Relevance to AEE: </w:t>
      </w:r>
      <w:r>
        <w:rPr>
          <w:rFonts w:ascii="Calibri" w:hAnsi="Calibri"/>
          <w:color w:val="525866"/>
          <w:sz w:val="22"/>
        </w:rPr>
        <w:t>CMS operates in Michigan with a similar regulated utility model and is navigating the same large load / data center opportunity. Its Q2 commentary is a direct read-through for AEE’s large load tariff structure, IRP timing, and customer affordability messaging.</w:t>
      </w:r>
    </w:p>
    <w:p>
      <w:pPr>
        <w:pStyle w:val="ListBullet"/>
        <w:ind w:left="360" w:hanging="360"/>
      </w:pPr>
      <w:r>
        <w:rPr>
          <w:rFonts w:ascii="Calibri" w:hAnsi="Calibri"/>
          <w:b/>
          <w:color w:val="525866"/>
          <w:sz w:val="22"/>
        </w:rPr>
        <w:t xml:space="preserve">Large Load Tariff Agreement Executed: </w:t>
      </w:r>
      <w:r>
        <w:rPr>
          <w:rFonts w:ascii="Calibri" w:hAnsi="Calibri"/>
          <w:color w:val="525866"/>
          <w:sz w:val="22"/>
        </w:rPr>
        <w:t xml:space="preserve">CMS reached an agreement under its “large low tariff,” including both an Extraordinary Facilities Agreement and a rate agreement. The tariff “ensures new large load customers bear all costs to serve them. Supports economic growth and protects existing customers.” </w:t>
      </w:r>
      <w:r>
        <w:rPr>
          <w:rFonts w:ascii="Calibri" w:hAnsi="Calibri"/>
          <w:b/>
          <w:color w:val="525866"/>
          <w:sz w:val="22"/>
        </w:rPr>
        <w:t xml:space="preserve">AEE Read-Through: </w:t>
      </w:r>
      <w:r>
        <w:rPr>
          <w:rFonts w:ascii="Calibri" w:hAnsi="Calibri"/>
          <w:color w:val="525866"/>
          <w:sz w:val="22"/>
        </w:rPr>
        <w:t>AEE’s own large load tariff (approved in Missouri) uses the same cost-allocation principle. CMS’s successful execution of a binding agreement under this structure validates AEE’s approach and suggests AEE’s 2.2 GW ESAs are structured on sound regulatory footing.</w:t>
      </w:r>
    </w:p>
    <w:p>
      <w:pPr>
        <w:pStyle w:val="ListBullet"/>
        <w:ind w:left="360" w:hanging="360"/>
      </w:pPr>
      <w:r>
        <w:rPr>
          <w:rFonts w:ascii="Calibri" w:hAnsi="Calibri"/>
          <w:b/>
          <w:color w:val="525866"/>
          <w:sz w:val="22"/>
        </w:rPr>
        <w:t xml:space="preserve">Customer Bill Benefit Quantification: </w:t>
      </w:r>
      <w:r>
        <w:rPr>
          <w:rFonts w:ascii="Calibri" w:hAnsi="Calibri"/>
          <w:color w:val="525866"/>
          <w:sz w:val="22"/>
        </w:rPr>
        <w:t xml:space="preserve">CMS stated “our average residential electric customer could see approximately $7.50 per month of bill benefit with every gigawatt of new large load” by spreading fixed costs over a larger base. </w:t>
      </w:r>
      <w:r>
        <w:rPr>
          <w:rFonts w:ascii="Calibri" w:hAnsi="Calibri"/>
          <w:b/>
          <w:color w:val="525866"/>
          <w:sz w:val="22"/>
        </w:rPr>
        <w:t xml:space="preserve">AEE Read-Through: </w:t>
      </w:r>
      <w:r>
        <w:rPr>
          <w:rFonts w:ascii="Calibri" w:hAnsi="Calibri"/>
          <w:color w:val="525866"/>
          <w:sz w:val="22"/>
        </w:rPr>
        <w:t>AEE can use similar math to demonstrate customer affordability benefits from its 2.2 GW ESAs — a key regulatory and political argument in Missouri and Illinois.</w:t>
      </w:r>
    </w:p>
    <w:p>
      <w:pPr>
        <w:pStyle w:val="ListBullet"/>
        <w:ind w:left="360" w:hanging="360"/>
      </w:pPr>
      <w:r>
        <w:rPr>
          <w:rFonts w:ascii="Calibri" w:hAnsi="Calibri"/>
          <w:b/>
          <w:color w:val="525866"/>
          <w:sz w:val="22"/>
        </w:rPr>
        <w:t xml:space="preserve">IRP Delayed to September for Data Center Integration: </w:t>
      </w:r>
      <w:r>
        <w:rPr>
          <w:rFonts w:ascii="Calibri" w:hAnsi="Calibri"/>
          <w:color w:val="525866"/>
          <w:sz w:val="22"/>
        </w:rPr>
        <w:t xml:space="preserve">CMS’s IRP was pushed to September to incorporate new large load growth. Capital plan “doesn’t reflect that low growth. So there’s continues to be upside opportunity that will be reflected in the IRP.” </w:t>
      </w:r>
      <w:r>
        <w:rPr>
          <w:rFonts w:ascii="Calibri" w:hAnsi="Calibri"/>
          <w:b/>
          <w:color w:val="525866"/>
          <w:sz w:val="22"/>
        </w:rPr>
        <w:t xml:space="preserve">AEE Read-Through: </w:t>
      </w:r>
      <w:r>
        <w:rPr>
          <w:rFonts w:ascii="Calibri" w:hAnsi="Calibri"/>
          <w:color w:val="525866"/>
          <w:sz w:val="22"/>
        </w:rPr>
        <w:t>AEE’s Missouri IRP is also targeted for late September 2026. CMS’s experience suggests AEE’s IRP will incorporate upside capital from data center load, potentially raising the 10-year pipeline above the current $70B+ figure.</w:t>
      </w:r>
    </w:p>
    <w:p>
      <w:pPr>
        <w:pStyle w:val="ListBullet"/>
        <w:ind w:left="360" w:hanging="360"/>
      </w:pPr>
      <w:r>
        <w:rPr>
          <w:rFonts w:ascii="Calibri" w:hAnsi="Calibri"/>
          <w:b/>
          <w:color w:val="525866"/>
          <w:sz w:val="22"/>
        </w:rPr>
        <w:t xml:space="preserve">Exit of Non-Utility Renewables / Capital Reallocation: </w:t>
      </w:r>
      <w:r>
        <w:rPr>
          <w:rFonts w:ascii="Calibri" w:hAnsi="Calibri"/>
          <w:color w:val="525866"/>
          <w:sz w:val="22"/>
        </w:rPr>
        <w:t xml:space="preserve">CMS announced it will exit non-utility renewables development (North Star), reducing parent funding needs by $500M+ through 2030 and cutting equity needs by at least $350M. </w:t>
      </w:r>
      <w:r>
        <w:rPr>
          <w:rFonts w:ascii="Calibri" w:hAnsi="Calibri"/>
          <w:b/>
          <w:color w:val="525866"/>
          <w:sz w:val="22"/>
        </w:rPr>
        <w:t xml:space="preserve">AEE Read-Through: </w:t>
      </w:r>
      <w:r>
        <w:rPr>
          <w:rFonts w:ascii="Calibri" w:hAnsi="Calibri"/>
          <w:color w:val="525866"/>
          <w:sz w:val="22"/>
        </w:rPr>
        <w:t>AEE does not have a comparable non-utility renewables business, so this is not a direct risk; however, it highlights the sector’s focus on balance sheet discipline and equity minimization — consistent with AEE’s own ATM-based equity strategy.</w:t>
      </w:r>
    </w:p>
    <w:p>
      <w:pPr>
        <w:pStyle w:val="ListBullet"/>
        <w:ind w:left="360" w:hanging="360"/>
      </w:pPr>
      <w:r>
        <w:rPr>
          <w:rFonts w:ascii="Calibri" w:hAnsi="Calibri"/>
          <w:b/>
          <w:color w:val="525866"/>
          <w:sz w:val="22"/>
        </w:rPr>
        <w:t xml:space="preserve">Rate Case Filed: $456M Revenue Increase, 10.25% ROE, 51.75% Equity Ratio: </w:t>
      </w:r>
      <w:r>
        <w:rPr>
          <w:rFonts w:ascii="Calibri" w:hAnsi="Calibri"/>
          <w:color w:val="525866"/>
          <w:sz w:val="22"/>
        </w:rPr>
        <w:t xml:space="preserve">CMS filed its electric rate case in June with these parameters. </w:t>
      </w:r>
      <w:r>
        <w:rPr>
          <w:rFonts w:ascii="Calibri" w:hAnsi="Calibri"/>
          <w:b/>
          <w:color w:val="525866"/>
          <w:sz w:val="22"/>
        </w:rPr>
        <w:t xml:space="preserve">AEE Read-Through: </w:t>
      </w:r>
      <w:r>
        <w:rPr>
          <w:rFonts w:ascii="Calibri" w:hAnsi="Calibri"/>
          <w:color w:val="525866"/>
          <w:sz w:val="22"/>
        </w:rPr>
        <w:t>AEE’s Missouri rate case (filed June 26) requested the same 10.25% ROE and 52% equity ratio — directly in line with CMS’s filing, suggesting both companies are using consistent regulatory benchmarks. This alignment reduces the risk of AEE’s ROE request being viewed as aggressive.</w:t>
      </w:r>
    </w:p>
    <w:p>
      <w:pPr>
        <w:pStyle w:val="Heading2"/>
      </w:pPr>
      <w:r>
        <w:rPr>
          <w:rFonts w:ascii="Calibri" w:hAnsi="Calibri"/>
          <w:b/>
          <w:color w:val="3B4259"/>
          <w:sz w:val="28"/>
        </w:rPr>
        <w:t>CenterPoint Energy (CNP) — Q2 2026 Earnings Call, July 28, 2026</w:t>
      </w:r>
    </w:p>
    <w:p>
      <w:r>
        <w:rPr>
          <w:rFonts w:ascii="Calibri" w:hAnsi="Calibri"/>
          <w:b/>
          <w:color w:val="525866"/>
          <w:sz w:val="22"/>
        </w:rPr>
        <w:t xml:space="preserve">Relevance to AEE: </w:t>
      </w:r>
      <w:r>
        <w:rPr>
          <w:rFonts w:ascii="Calibri" w:hAnsi="Calibri"/>
          <w:color w:val="525866"/>
          <w:sz w:val="22"/>
        </w:rPr>
        <w:t>CNP’s Houston Electric territory is the most advanced large load growth story in the sector. Its Q2 commentary on demand scale, tariff structure, and capital plan expansion without equity is the most bullish read-through for AEE’s data center narrative.</w:t>
      </w:r>
    </w:p>
    <w:p>
      <w:pPr>
        <w:pStyle w:val="ListBullet"/>
        <w:ind w:left="360" w:hanging="360"/>
      </w:pPr>
      <w:r>
        <w:rPr>
          <w:rFonts w:ascii="Calibri" w:hAnsi="Calibri"/>
          <w:b/>
          <w:color w:val="525866"/>
          <w:sz w:val="22"/>
        </w:rPr>
        <w:t xml:space="preserve">17 GW of Large Load Project Submissions via ERCOT Batch Zero: </w:t>
      </w:r>
      <w:r>
        <w:rPr>
          <w:rFonts w:ascii="Calibri" w:hAnsi="Calibri"/>
          <w:color w:val="525866"/>
          <w:sz w:val="22"/>
        </w:rPr>
        <w:t xml:space="preserve">CNP submitted 17 GW of large load projects, with 14 GW eligible for batch zero, representing a 65%+ increase in system peak demand. CEO: “This not only reflects the strength of electric demand growth in our region, but also gives us even greater confidence in the acceleration and durability of the growth we are already seeing over the longer term.” </w:t>
      </w:r>
      <w:r>
        <w:rPr>
          <w:rFonts w:ascii="Calibri" w:hAnsi="Calibri"/>
          <w:b/>
          <w:color w:val="525866"/>
          <w:sz w:val="22"/>
        </w:rPr>
        <w:t xml:space="preserve">AEE Read-Through: </w:t>
      </w:r>
      <w:r>
        <w:rPr>
          <w:rFonts w:ascii="Calibri" w:hAnsi="Calibri"/>
          <w:color w:val="525866"/>
          <w:sz w:val="22"/>
        </w:rPr>
        <w:t>While AEE’s Missouri market is smaller, the scale and durability of hyperscale demand is confirmed at the national level. AEE’s 2.2 GW ESAs and 1.2 GW construction agreement pipeline are consistent with this secular trend.</w:t>
      </w:r>
    </w:p>
    <w:p>
      <w:pPr>
        <w:pStyle w:val="ListBullet"/>
        <w:ind w:left="360" w:hanging="360"/>
      </w:pPr>
      <w:r>
        <w:rPr>
          <w:rFonts w:ascii="Calibri" w:hAnsi="Calibri"/>
          <w:b/>
          <w:color w:val="525866"/>
          <w:sz w:val="22"/>
        </w:rPr>
        <w:t xml:space="preserve">$5B in Customer Bill Savings from 14 GW of Large Load: </w:t>
      </w:r>
      <w:r>
        <w:rPr>
          <w:rFonts w:ascii="Calibri" w:hAnsi="Calibri"/>
          <w:color w:val="525866"/>
          <w:sz w:val="22"/>
        </w:rPr>
        <w:t xml:space="preserve">CNP estimated “collectively, residential and commercial electric customers will save over $5 billion over the next decade” from 14 GW of new large load, as these customers “absorb the cost of the system.” </w:t>
      </w:r>
      <w:r>
        <w:rPr>
          <w:rFonts w:ascii="Calibri" w:hAnsi="Calibri"/>
          <w:b/>
          <w:color w:val="525866"/>
          <w:sz w:val="22"/>
        </w:rPr>
        <w:t xml:space="preserve">AEE Read-Through: </w:t>
      </w:r>
      <w:r>
        <w:rPr>
          <w:rFonts w:ascii="Calibri" w:hAnsi="Calibri"/>
          <w:color w:val="525866"/>
          <w:sz w:val="22"/>
        </w:rPr>
        <w:t>AEE can make a similar affordability argument in Missouri regulatory proceedings. The math (~$800M revenue requirement per 14 GW, spread across existing customers) is directly applicable to AEE’s large load tariff justification.</w:t>
      </w:r>
    </w:p>
    <w:p>
      <w:pPr>
        <w:pStyle w:val="ListBullet"/>
        <w:ind w:left="360" w:hanging="360"/>
      </w:pPr>
      <w:r>
        <w:rPr>
          <w:rFonts w:ascii="Calibri" w:hAnsi="Calibri"/>
          <w:b/>
          <w:color w:val="525866"/>
          <w:sz w:val="22"/>
        </w:rPr>
        <w:t xml:space="preserve">$1.2B Capital Plan Increase Without Additional Equity: </w:t>
      </w:r>
      <w:r>
        <w:rPr>
          <w:rFonts w:ascii="Calibri" w:hAnsi="Calibri"/>
          <w:color w:val="525866"/>
          <w:sz w:val="22"/>
        </w:rPr>
        <w:t xml:space="preserve">CNP raised its capital plan by $1.2B (driven by large load system upgrades and the Downtown Houston Revitalization Project) and stated “today’s announced capital investment increase does not result in any increased equity needs.” </w:t>
      </w:r>
      <w:r>
        <w:rPr>
          <w:rFonts w:ascii="Calibri" w:hAnsi="Calibri"/>
          <w:b/>
          <w:color w:val="525866"/>
          <w:sz w:val="22"/>
        </w:rPr>
        <w:t xml:space="preserve">AEE Read-Through: </w:t>
      </w:r>
      <w:r>
        <w:rPr>
          <w:rFonts w:ascii="Calibri" w:hAnsi="Calibri"/>
          <w:color w:val="525866"/>
          <w:sz w:val="22"/>
        </w:rPr>
        <w:t>This is the most important read-through for AEE’s balance sheet narrative. If peers can absorb significant capex increases without equity dilution, AEE’s own capital plan upside (from ESA conversions) may be fundable within existing equity guidance.</w:t>
      </w:r>
    </w:p>
    <w:p>
      <w:pPr>
        <w:pStyle w:val="ListBullet"/>
        <w:ind w:left="360" w:hanging="360"/>
      </w:pPr>
      <w:r>
        <w:rPr>
          <w:rFonts w:ascii="Calibri" w:hAnsi="Calibri"/>
          <w:b/>
          <w:color w:val="525866"/>
          <w:sz w:val="22"/>
        </w:rPr>
        <w:t xml:space="preserve">Distribution-Level Demand Also Accelerating: </w:t>
      </w:r>
      <w:r>
        <w:rPr>
          <w:rFonts w:ascii="Calibri" w:hAnsi="Calibri"/>
          <w:color w:val="525866"/>
          <w:sz w:val="22"/>
        </w:rPr>
        <w:t xml:space="preserve">Beyond large load, CNP anticipates “an additional two gigawatts of distribution level demand over the next several years, driven by reshoring of advanced manufacturing and continued population growth.” CEO confirmed: “growth will be well north of” the 65% large load figure. </w:t>
      </w:r>
      <w:r>
        <w:rPr>
          <w:rFonts w:ascii="Calibri" w:hAnsi="Calibri"/>
          <w:b/>
          <w:color w:val="525866"/>
          <w:sz w:val="22"/>
        </w:rPr>
        <w:t xml:space="preserve">AEE Read-Through: </w:t>
      </w:r>
      <w:r>
        <w:rPr>
          <w:rFonts w:ascii="Calibri" w:hAnsi="Calibri"/>
          <w:color w:val="525866"/>
          <w:sz w:val="22"/>
        </w:rPr>
        <w:t>AEE’s Missouri service territory is also seeing industrial and manufacturing demand growth beyond data centers, supporting the 6.2% retail sales CAGR assumption.</w:t>
      </w:r>
    </w:p>
    <w:p>
      <w:pPr>
        <w:pStyle w:val="ListBullet"/>
        <w:ind w:left="360" w:hanging="360"/>
      </w:pPr>
      <w:r>
        <w:rPr>
          <w:rFonts w:ascii="Calibri" w:hAnsi="Calibri"/>
          <w:b/>
          <w:color w:val="525866"/>
          <w:sz w:val="22"/>
        </w:rPr>
        <w:t xml:space="preserve">FFO/Debt at 13.4%, Improving: </w:t>
      </w:r>
      <w:r>
        <w:rPr>
          <w:rFonts w:ascii="Calibri" w:hAnsi="Calibri"/>
          <w:color w:val="525866"/>
          <w:sz w:val="22"/>
        </w:rPr>
        <w:t xml:space="preserve">CNP’s Moody’s-methodology FFO/debt was 13.4% at Q2 end, up ~100 bps from Q1, with continued improvement expected. </w:t>
      </w:r>
      <w:r>
        <w:rPr>
          <w:rFonts w:ascii="Calibri" w:hAnsi="Calibri"/>
          <w:b/>
          <w:color w:val="525866"/>
          <w:sz w:val="22"/>
        </w:rPr>
        <w:t xml:space="preserve">AEE Read-Through: </w:t>
      </w:r>
      <w:r>
        <w:rPr>
          <w:rFonts w:ascii="Calibri" w:hAnsi="Calibri"/>
          <w:color w:val="525866"/>
          <w:sz w:val="22"/>
        </w:rPr>
        <w:t>AEE targets FFO/debt above 17% (Moody’s threshold). CNP’s improvement trajectory is a positive sector signal, though AEE’s higher target reflects its more conservative credit posture.</w:t>
      </w:r>
    </w:p>
    <w:p>
      <w:pPr>
        <w:pStyle w:val="Heading2"/>
      </w:pPr>
      <w:r>
        <w:rPr>
          <w:rFonts w:ascii="Calibri" w:hAnsi="Calibri"/>
          <w:b/>
          <w:color w:val="3B4259"/>
          <w:sz w:val="28"/>
        </w:rPr>
        <w:t>DTE Energy (DTE) — Q2 2026 Earnings Call, July 28, 2026</w:t>
      </w:r>
    </w:p>
    <w:p>
      <w:r>
        <w:rPr>
          <w:rFonts w:ascii="Calibri" w:hAnsi="Calibri"/>
          <w:b/>
          <w:color w:val="525866"/>
          <w:sz w:val="22"/>
        </w:rPr>
        <w:t xml:space="preserve">Relevance to AEE: </w:t>
      </w:r>
      <w:r>
        <w:rPr>
          <w:rFonts w:ascii="Calibri" w:hAnsi="Calibri"/>
          <w:color w:val="525866"/>
          <w:sz w:val="22"/>
        </w:rPr>
        <w:t>DTE is AEE’s closest geographic peer (Michigan vs. Missouri/Illinois) and is executing a nearly identical data center strategy — large load tariff, IRP filing in Q3, and a pipeline of 5–6 GW beyond signed contracts. DTE’s Q2 commentary is the highest-relevance read-through for AEE.</w:t>
      </w:r>
    </w:p>
    <w:p>
      <w:pPr>
        <w:pStyle w:val="ListBullet"/>
        <w:ind w:left="360" w:hanging="360"/>
      </w:pPr>
      <w:r>
        <w:rPr>
          <w:rFonts w:ascii="Calibri" w:hAnsi="Calibri"/>
          <w:b/>
          <w:color w:val="525866"/>
          <w:sz w:val="22"/>
        </w:rPr>
        <w:t xml:space="preserve">2.4 GW of Executed Data Center Agreements (Oracle 1.4 GW + Google 1.0 GW): </w:t>
      </w:r>
      <w:r>
        <w:rPr>
          <w:rFonts w:ascii="Calibri" w:hAnsi="Calibri"/>
          <w:color w:val="525866"/>
          <w:sz w:val="22"/>
        </w:rPr>
        <w:t xml:space="preserve">Oracle is “fully approved and under construction.” Google contract submitted to MPSC, approval expected September 2026. Pipeline of 5–6 GW additional opportunities, with ~2 GW in advanced discussions and a target of “reaching an additional agreement by the end of 2026.” </w:t>
      </w:r>
      <w:r>
        <w:rPr>
          <w:rFonts w:ascii="Calibri" w:hAnsi="Calibri"/>
          <w:b/>
          <w:color w:val="525866"/>
          <w:sz w:val="22"/>
        </w:rPr>
        <w:t xml:space="preserve">AEE Read-Through: </w:t>
      </w:r>
      <w:r>
        <w:rPr>
          <w:rFonts w:ascii="Calibri" w:hAnsi="Calibri"/>
          <w:color w:val="525866"/>
          <w:sz w:val="22"/>
        </w:rPr>
        <w:t>AEE has 2.2 GW of signed ESAs and 1.2 GW of construction agreements. DTE’s experience suggests AEE’s pipeline conversion timeline (near-term ESA conversions from 1.2 GW) is realistic and that the pipeline beyond signed agreements is likely larger than disclosed.</w:t>
      </w:r>
    </w:p>
    <w:p>
      <w:pPr>
        <w:pStyle w:val="ListBullet"/>
        <w:ind w:left="360" w:hanging="360"/>
      </w:pPr>
      <w:r>
        <w:rPr>
          <w:rFonts w:ascii="Calibri" w:hAnsi="Calibri"/>
          <w:b/>
          <w:color w:val="525866"/>
          <w:sz w:val="22"/>
        </w:rPr>
        <w:t xml:space="preserve">Oracle Provides ~$300M Annual Customer Benefits; Google ~$1.7B Over Contract Life: </w:t>
      </w:r>
      <w:r>
        <w:rPr>
          <w:rFonts w:ascii="Calibri" w:hAnsi="Calibri"/>
          <w:color w:val="525866"/>
          <w:sz w:val="22"/>
        </w:rPr>
        <w:t xml:space="preserve">DTE quantified the customer affordability benefits of its data center contracts. </w:t>
      </w:r>
      <w:r>
        <w:rPr>
          <w:rFonts w:ascii="Calibri" w:hAnsi="Calibri"/>
          <w:b/>
          <w:color w:val="525866"/>
          <w:sz w:val="22"/>
        </w:rPr>
        <w:t xml:space="preserve">AEE Read-Through: </w:t>
      </w:r>
      <w:r>
        <w:rPr>
          <w:rFonts w:ascii="Calibri" w:hAnsi="Calibri"/>
          <w:color w:val="525866"/>
          <w:sz w:val="22"/>
        </w:rPr>
        <w:t>AEE should be able to make similar quantified affordability arguments for its 2.2 GW ESAs in Missouri regulatory proceedings and investor communications.</w:t>
      </w:r>
    </w:p>
    <w:p>
      <w:pPr>
        <w:pStyle w:val="ListBullet"/>
        <w:ind w:left="360" w:hanging="360"/>
      </w:pPr>
      <w:r>
        <w:rPr>
          <w:rFonts w:ascii="Calibri" w:hAnsi="Calibri"/>
          <w:b/>
          <w:color w:val="525866"/>
          <w:sz w:val="22"/>
        </w:rPr>
        <w:t xml:space="preserve">Large Load Tariff Moving Through Approval Process: </w:t>
      </w:r>
      <w:r>
        <w:rPr>
          <w:rFonts w:ascii="Calibri" w:hAnsi="Calibri"/>
          <w:color w:val="525866"/>
          <w:sz w:val="22"/>
        </w:rPr>
        <w:t xml:space="preserve">DTE’s large load tariff “includes appropriate protections for existing customers that are similar to those in the Oracle and Google contracts.” </w:t>
      </w:r>
      <w:r>
        <w:rPr>
          <w:rFonts w:ascii="Calibri" w:hAnsi="Calibri"/>
          <w:b/>
          <w:color w:val="525866"/>
          <w:sz w:val="22"/>
        </w:rPr>
        <w:t xml:space="preserve">AEE Read-Through: </w:t>
      </w:r>
      <w:r>
        <w:rPr>
          <w:rFonts w:ascii="Calibri" w:hAnsi="Calibri"/>
          <w:color w:val="525866"/>
          <w:sz w:val="22"/>
        </w:rPr>
        <w:t>AEE’s Missouri large load tariff is already approved. DTE’s pending approval confirms the regulatory trend toward standardized large load cost-allocation frameworks.</w:t>
      </w:r>
    </w:p>
    <w:p>
      <w:pPr>
        <w:pStyle w:val="ListBullet"/>
        <w:ind w:left="360" w:hanging="360"/>
      </w:pPr>
      <w:r>
        <w:rPr>
          <w:rFonts w:ascii="Calibri" w:hAnsi="Calibri"/>
          <w:b/>
          <w:color w:val="525866"/>
          <w:sz w:val="22"/>
        </w:rPr>
        <w:t xml:space="preserve">IRP to Be Filed Q3 2026; Base Case = Two Signed Contracts, High End = Full Pipeline: </w:t>
      </w:r>
      <w:r>
        <w:rPr>
          <w:rFonts w:ascii="Calibri" w:hAnsi="Calibri"/>
          <w:color w:val="525866"/>
          <w:sz w:val="22"/>
        </w:rPr>
        <w:t xml:space="preserve">DTE’s IRP “will provide clear visibility into how we plan to serve growing demand, including data centers, in a transparent and cost effective manner.” </w:t>
      </w:r>
      <w:r>
        <w:rPr>
          <w:rFonts w:ascii="Calibri" w:hAnsi="Calibri"/>
          <w:b/>
          <w:color w:val="525866"/>
          <w:sz w:val="22"/>
        </w:rPr>
        <w:t xml:space="preserve">AEE Read-Through: </w:t>
      </w:r>
      <w:r>
        <w:rPr>
          <w:rFonts w:ascii="Calibri" w:hAnsi="Calibri"/>
          <w:color w:val="525866"/>
          <w:sz w:val="22"/>
        </w:rPr>
        <w:t>AEE’s Missouri IRP is also targeted for late September 2026. DTE’s approach of presenting a base case (signed contracts) and high-end scenario (full pipeline) is likely the template AEE will follow, providing investors with a range of capital plan upside.</w:t>
      </w:r>
    </w:p>
    <w:p>
      <w:pPr>
        <w:pStyle w:val="ListBullet"/>
        <w:ind w:left="360" w:hanging="360"/>
      </w:pPr>
      <w:r>
        <w:rPr>
          <w:rFonts w:ascii="Calibri" w:hAnsi="Calibri"/>
          <w:b/>
          <w:color w:val="525866"/>
          <w:sz w:val="22"/>
        </w:rPr>
        <w:t xml:space="preserve">Potential Rate Case ‘Stay Out’ Until 2028 if Oracle Ramps Faster Than Plan: </w:t>
      </w:r>
      <w:r>
        <w:rPr>
          <w:rFonts w:ascii="Calibri" w:hAnsi="Calibri"/>
          <w:color w:val="525866"/>
          <w:sz w:val="22"/>
        </w:rPr>
        <w:t xml:space="preserve">DTE proposed a regulatory mechanism to capture excess margin from faster-than-expected Oracle ramp and flow benefits back to customers, which if approved would defer the next rate case until at least 2028. </w:t>
      </w:r>
      <w:r>
        <w:rPr>
          <w:rFonts w:ascii="Calibri" w:hAnsi="Calibri"/>
          <w:b/>
          <w:color w:val="525866"/>
          <w:sz w:val="22"/>
        </w:rPr>
        <w:t xml:space="preserve">AEE Read-Through: </w:t>
      </w:r>
      <w:r>
        <w:rPr>
          <w:rFonts w:ascii="Calibri" w:hAnsi="Calibri"/>
          <w:color w:val="525866"/>
          <w:sz w:val="22"/>
        </w:rPr>
        <w:t>AEE filed its Missouri rate case in June 2026 (decision expected May 2027). If AEE’s ESA load ramps faster than the plan assumption, a similar mechanism could be proposed to defer future rate cases and demonstrate customer benefit.</w:t>
      </w:r>
    </w:p>
    <w:p>
      <w:pPr>
        <w:pStyle w:val="ListBullet"/>
        <w:ind w:left="360" w:hanging="360"/>
      </w:pPr>
      <w:r>
        <w:rPr>
          <w:rFonts w:ascii="Calibri" w:hAnsi="Calibri"/>
          <w:b/>
          <w:color w:val="525866"/>
          <w:sz w:val="22"/>
        </w:rPr>
        <w:t xml:space="preserve">Equity Issuance: $500–$600M Annually 2026–2028 via ATM and Forward Sales: </w:t>
      </w:r>
      <w:r>
        <w:rPr>
          <w:rFonts w:ascii="Calibri" w:hAnsi="Calibri"/>
          <w:color w:val="525866"/>
          <w:sz w:val="22"/>
        </w:rPr>
        <w:t xml:space="preserve">DTE priced ~$350M in Q1 and ~$150M in Q2 via forward sale agreements, “effectively fulfilling equity needs for the year.” Targets FFO/debt of ~15%. </w:t>
      </w:r>
      <w:r>
        <w:rPr>
          <w:rFonts w:ascii="Calibri" w:hAnsi="Calibri"/>
          <w:b/>
          <w:color w:val="525866"/>
          <w:sz w:val="22"/>
        </w:rPr>
        <w:t xml:space="preserve">AEE Read-Through: </w:t>
      </w:r>
      <w:r>
        <w:rPr>
          <w:rFonts w:ascii="Calibri" w:hAnsi="Calibri"/>
          <w:color w:val="525866"/>
          <w:sz w:val="22"/>
        </w:rPr>
        <w:t>AEE’s equity plan (~$600M ATM in 2026 to date) is executing at a similar pace. DTE’s ability to front-load equity via forward sales is a financing strategy AEE is also employing.</w:t>
      </w:r>
    </w:p>
    <w:p>
      <w:pPr>
        <w:pStyle w:val="ListBullet"/>
        <w:ind w:left="360" w:hanging="360"/>
      </w:pPr>
      <w:r>
        <w:rPr>
          <w:rFonts w:ascii="Calibri" w:hAnsi="Calibri"/>
          <w:b/>
          <w:color w:val="525866"/>
          <w:sz w:val="22"/>
        </w:rPr>
        <w:t xml:space="preserve">July Storm Impacted 400K Customers; Areas with Prior Reliability Investment Performed Significantly Better: </w:t>
      </w:r>
      <w:r>
        <w:rPr>
          <w:rFonts w:ascii="Calibri" w:hAnsi="Calibri"/>
          <w:color w:val="525866"/>
          <w:sz w:val="22"/>
        </w:rPr>
        <w:t xml:space="preserve">DTE noted that “areas where we have completed substantial reliability investments performed significantly better,” with outage duration improving 90% from 2023–2025. </w:t>
      </w:r>
      <w:r>
        <w:rPr>
          <w:rFonts w:ascii="Calibri" w:hAnsi="Calibri"/>
          <w:b/>
          <w:color w:val="525866"/>
          <w:sz w:val="22"/>
        </w:rPr>
        <w:t xml:space="preserve">AEE Read-Through: </w:t>
      </w:r>
      <w:r>
        <w:rPr>
          <w:rFonts w:ascii="Calibri" w:hAnsi="Calibri"/>
          <w:color w:val="525866"/>
          <w:sz w:val="22"/>
        </w:rPr>
        <w:t>AEE’s Q2 results may include storm-related O&amp;M costs (Q2 is peak storm season in Missouri/Illinois). DTE’s experience validates AEE’s ongoing grid hardening investment and supports the regulatory case for continued reliability capex.</w:t>
      </w:r>
    </w:p>
    <w:p>
      <w:pPr>
        <w:pStyle w:val="Heading2"/>
      </w:pPr>
      <w:r>
        <w:rPr>
          <w:rFonts w:ascii="Calibri" w:hAnsi="Calibri"/>
          <w:b/>
          <w:color w:val="3B4259"/>
          <w:sz w:val="28"/>
        </w:rPr>
        <w:t>Entergy Corporation (ETR) — Q2 2026 Earnings Call, July 29, 2026</w:t>
      </w:r>
    </w:p>
    <w:p>
      <w:r>
        <w:rPr>
          <w:rFonts w:ascii="Calibri" w:hAnsi="Calibri"/>
          <w:b/>
          <w:color w:val="525866"/>
          <w:sz w:val="22"/>
        </w:rPr>
        <w:t xml:space="preserve">Relevance to AEE: </w:t>
      </w:r>
      <w:r>
        <w:rPr>
          <w:rFonts w:ascii="Calibri" w:hAnsi="Calibri"/>
          <w:color w:val="525866"/>
          <w:sz w:val="22"/>
        </w:rPr>
        <w:t>ETR’s Gulf South corridor is experiencing the most aggressive large load growth in the sector. Its Q2 commentary on pipeline scale, NIMBYism, regulatory tools, and proactive equity financing provides important context for AEE’s own growth trajectory.</w:t>
      </w:r>
    </w:p>
    <w:p>
      <w:pPr>
        <w:pStyle w:val="ListBullet"/>
        <w:ind w:left="360" w:hanging="360"/>
      </w:pPr>
      <w:r>
        <w:rPr>
          <w:rFonts w:ascii="Calibri" w:hAnsi="Calibri"/>
          <w:b/>
          <w:color w:val="525866"/>
          <w:sz w:val="22"/>
        </w:rPr>
        <w:t xml:space="preserve">7–12 GW Hyperscale Data Center Pipeline + 3–5 GW Traditional Industrial: </w:t>
      </w:r>
      <w:r>
        <w:rPr>
          <w:rFonts w:ascii="Calibri" w:hAnsi="Calibri"/>
          <w:color w:val="525866"/>
          <w:sz w:val="22"/>
        </w:rPr>
        <w:t xml:space="preserve">ETR reported its pipeline “beyond current outlooks” includes 7–12 GW of hyperscale data center potential and 3–5 GW of traditional industrial interest. “Interest in potential large scale projects throughout our service area has continued to grow.” </w:t>
      </w:r>
      <w:r>
        <w:rPr>
          <w:rFonts w:ascii="Calibri" w:hAnsi="Calibri"/>
          <w:b/>
          <w:color w:val="525866"/>
          <w:sz w:val="22"/>
        </w:rPr>
        <w:t xml:space="preserve">AEE Read-Through: </w:t>
      </w:r>
      <w:r>
        <w:rPr>
          <w:rFonts w:ascii="Calibri" w:hAnsi="Calibri"/>
          <w:color w:val="525866"/>
          <w:sz w:val="22"/>
        </w:rPr>
        <w:t>The scale of ETR’s pipeline confirms that AEE’s 3.4 GW Missouri construction agreement pool (of which 2.2 GW are ESAs) is not an outlier — it is consistent with the sector-wide demand surge. AEE’s remaining 1.2 GW conversion opportunity is credible.</w:t>
      </w:r>
    </w:p>
    <w:p>
      <w:pPr>
        <w:pStyle w:val="ListBullet"/>
        <w:ind w:left="360" w:hanging="360"/>
      </w:pPr>
      <w:r>
        <w:rPr>
          <w:rFonts w:ascii="Calibri" w:hAnsi="Calibri"/>
          <w:b/>
          <w:color w:val="525866"/>
          <w:sz w:val="22"/>
        </w:rPr>
        <w:t xml:space="preserve">10% Industrial Sales Growth in Q2 (Excluding Weather): </w:t>
      </w:r>
      <w:r>
        <w:rPr>
          <w:rFonts w:ascii="Calibri" w:hAnsi="Calibri"/>
          <w:color w:val="525866"/>
          <w:sz w:val="22"/>
        </w:rPr>
        <w:t xml:space="preserve">ETR reported “retail sales growth was positive, driven by 10% industrial sales growth as new and expansion projects continue to ramp up their operations.” </w:t>
      </w:r>
      <w:r>
        <w:rPr>
          <w:rFonts w:ascii="Calibri" w:hAnsi="Calibri"/>
          <w:b/>
          <w:color w:val="525866"/>
          <w:sz w:val="22"/>
        </w:rPr>
        <w:t xml:space="preserve">AEE Read-Through: </w:t>
      </w:r>
      <w:r>
        <w:rPr>
          <w:rFonts w:ascii="Calibri" w:hAnsi="Calibri"/>
          <w:color w:val="525866"/>
          <w:sz w:val="22"/>
        </w:rPr>
        <w:t>Strong industrial sales growth at ETR is a positive leading indicator for AEE’s Missouri retail sales in Q2 2026, particularly as data center and industrial load begins to ramp.</w:t>
      </w:r>
    </w:p>
    <w:p>
      <w:pPr>
        <w:pStyle w:val="ListBullet"/>
        <w:ind w:left="360" w:hanging="360"/>
      </w:pPr>
      <w:r>
        <w:rPr>
          <w:rFonts w:ascii="Calibri" w:hAnsi="Calibri"/>
          <w:b/>
          <w:color w:val="525866"/>
          <w:sz w:val="22"/>
        </w:rPr>
        <w:t xml:space="preserve">NIMBYism / Data Center Moratorium in New Orleans: </w:t>
      </w:r>
      <w:r>
        <w:rPr>
          <w:rFonts w:ascii="Calibri" w:hAnsi="Calibri"/>
          <w:color w:val="525866"/>
          <w:sz w:val="22"/>
        </w:rPr>
        <w:t xml:space="preserve">ETR acknowledged “pockets where there are concerns,” citing a moratorium on data centers in New Orleans. Approach: “work with stakeholders to make sure that everybody understands the need.” </w:t>
      </w:r>
      <w:r>
        <w:rPr>
          <w:rFonts w:ascii="Calibri" w:hAnsi="Calibri"/>
          <w:b/>
          <w:color w:val="525866"/>
          <w:sz w:val="22"/>
        </w:rPr>
        <w:t xml:space="preserve">AEE Read-Through: </w:t>
      </w:r>
      <w:r>
        <w:rPr>
          <w:rFonts w:ascii="Calibri" w:hAnsi="Calibri"/>
          <w:color w:val="525866"/>
          <w:sz w:val="22"/>
        </w:rPr>
        <w:t>AEE may face similar local opposition in Missouri or Illinois as data center projects become more visible. The Q2 call may include questions on community engagement and local permitting for the 2.2 GW ESA sites.</w:t>
      </w:r>
    </w:p>
    <w:p>
      <w:pPr>
        <w:pStyle w:val="ListBullet"/>
        <w:ind w:left="360" w:hanging="360"/>
      </w:pPr>
      <w:r>
        <w:rPr>
          <w:rFonts w:ascii="Calibri" w:hAnsi="Calibri"/>
          <w:b/>
          <w:color w:val="525866"/>
          <w:sz w:val="22"/>
        </w:rPr>
        <w:t xml:space="preserve">‘Fair Share Plus’ Pledge — $7B in Customer Bill Benefits: </w:t>
      </w:r>
      <w:r>
        <w:rPr>
          <w:rFonts w:ascii="Calibri" w:hAnsi="Calibri"/>
          <w:color w:val="525866"/>
          <w:sz w:val="22"/>
        </w:rPr>
        <w:t xml:space="preserve">ETR’s commitment ensures data centers pay “the full cost to serve them and their fair share of fixed costs,” resulting in an estimated $7B in customer bill benefits. Louisiana Governor signed an executive order requiring data centers to meet these standards to qualify for state sales tax exemptions. </w:t>
      </w:r>
      <w:r>
        <w:rPr>
          <w:rFonts w:ascii="Calibri" w:hAnsi="Calibri"/>
          <w:b/>
          <w:color w:val="525866"/>
          <w:sz w:val="22"/>
        </w:rPr>
        <w:t xml:space="preserve">AEE Read-Through: </w:t>
      </w:r>
      <w:r>
        <w:rPr>
          <w:rFonts w:ascii="Calibri" w:hAnsi="Calibri"/>
          <w:color w:val="525866"/>
          <w:sz w:val="22"/>
        </w:rPr>
        <w:t>AEE’s Missouri large load tariff uses the same cost-allocation principle. The Louisiana executive order and White House Ratepayer Protection Pledge signal growing political support for this framework, which reduces regulatory risk for AEE’s tariff structure.</w:t>
      </w:r>
    </w:p>
    <w:p>
      <w:pPr>
        <w:pStyle w:val="ListBullet"/>
        <w:ind w:left="360" w:hanging="360"/>
      </w:pPr>
      <w:r>
        <w:rPr>
          <w:rFonts w:ascii="Calibri" w:hAnsi="Calibri"/>
          <w:b/>
          <w:color w:val="525866"/>
          <w:sz w:val="22"/>
        </w:rPr>
        <w:t xml:space="preserve">~60% of 5-Year Equity Plan Contracted; $672M Forward Equity Settled June 22: </w:t>
      </w:r>
      <w:r>
        <w:rPr>
          <w:rFonts w:ascii="Calibri" w:hAnsi="Calibri"/>
          <w:color w:val="525866"/>
          <w:sz w:val="22"/>
        </w:rPr>
        <w:t xml:space="preserve">ETR settled 8.7M shares of equity forwards for $672M on June 22, 2026. S&amp;P noted ETR’s “credit profile appears positioned to benefit from data center expansion as a result of disciplined contracting and constructive regulatory tools.” </w:t>
      </w:r>
      <w:r>
        <w:rPr>
          <w:rFonts w:ascii="Calibri" w:hAnsi="Calibri"/>
          <w:b/>
          <w:color w:val="525866"/>
          <w:sz w:val="22"/>
        </w:rPr>
        <w:t xml:space="preserve">AEE Read-Through: </w:t>
      </w:r>
      <w:r>
        <w:rPr>
          <w:rFonts w:ascii="Calibri" w:hAnsi="Calibri"/>
          <w:color w:val="525866"/>
          <w:sz w:val="22"/>
        </w:rPr>
        <w:t>AEE’s proactive equity execution (ATM + forward sales) mirrors ETR’s approach. S&amp;P’s positive credit commentary on ETR’s data center strategy is a positive read-through for AEE’s own credit profile, particularly ahead of the pending Moody’s annual opinion.</w:t>
      </w:r>
    </w:p>
    <w:p>
      <w:pPr>
        <w:pStyle w:val="ListBullet"/>
        <w:ind w:left="360" w:hanging="360"/>
      </w:pPr>
      <w:r>
        <w:rPr>
          <w:rFonts w:ascii="Calibri" w:hAnsi="Calibri"/>
          <w:b/>
          <w:color w:val="525866"/>
          <w:sz w:val="22"/>
        </w:rPr>
        <w:t xml:space="preserve">Over 1,000 Miles of Transmission Under Construction in MISO: </w:t>
      </w:r>
      <w:r>
        <w:rPr>
          <w:rFonts w:ascii="Calibri" w:hAnsi="Calibri"/>
          <w:color w:val="525866"/>
          <w:sz w:val="22"/>
        </w:rPr>
        <w:t xml:space="preserve">ETR is “building so much transmission” to support new customers and resilience. </w:t>
      </w:r>
      <w:r>
        <w:rPr>
          <w:rFonts w:ascii="Calibri" w:hAnsi="Calibri"/>
          <w:b/>
          <w:color w:val="525866"/>
          <w:sz w:val="22"/>
        </w:rPr>
        <w:t xml:space="preserve">AEE Read-Through: </w:t>
      </w:r>
      <w:r>
        <w:rPr>
          <w:rFonts w:ascii="Calibri" w:hAnsi="Calibri"/>
          <w:color w:val="525866"/>
          <w:sz w:val="22"/>
        </w:rPr>
        <w:t>AEE is also in MISO and submitted bids for two competitive Illinois transmission projects in January 2026 (MISO selection expected mid-2026). ETR’s transmission build-out confirms the scale of MISO investment opportunity and validates AEE’s transmission capex pipeline.</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Q2 2026 Theme</w:t>
            </w:r>
          </w:p>
        </w:tc>
        <w:tc>
          <w:tcPr>
            <w:tcW w:type="dxa" w:w="2160"/>
            <w:shd w:val="clear" w:color="auto" w:fill="3B4259"/>
          </w:tcPr>
          <w:p>
            <w:r>
              <w:rPr>
                <w:rFonts w:ascii="Calibri" w:hAnsi="Calibri"/>
                <w:b/>
                <w:color w:val="FFFFFF"/>
                <w:sz w:val="22"/>
              </w:rPr>
              <w:t>AEE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CMS</w:t>
            </w:r>
          </w:p>
        </w:tc>
        <w:tc>
          <w:tcPr>
            <w:tcW w:type="dxa" w:w="2160"/>
          </w:tcPr>
          <w:p>
            <w:r>
              <w:rPr>
                <w:rFonts w:ascii="Calibri" w:hAnsi="Calibri"/>
                <w:sz w:val="22"/>
              </w:rPr>
              <w:t>Large load tariff agreement executed; IRP to September; 10.25% ROE rate case filed</w:t>
            </w:r>
          </w:p>
        </w:tc>
        <w:tc>
          <w:tcPr>
            <w:tcW w:type="dxa" w:w="2160"/>
          </w:tcPr>
          <w:p>
            <w:r>
              <w:rPr>
                <w:rFonts w:ascii="Calibri" w:hAnsi="Calibri"/>
                <w:sz w:val="22"/>
              </w:rPr>
              <w:t>Validates AEE’s tariff structure and ROE request; IRP timing aligned</w:t>
            </w:r>
          </w:p>
        </w:tc>
        <w:tc>
          <w:tcPr>
            <w:tcW w:type="dxa" w:w="2160"/>
          </w:tcPr>
          <w:p>
            <w:r>
              <w:rPr>
                <w:rFonts w:ascii="Calibri" w:hAnsi="Calibri"/>
                <w:b/>
                <w:color w:val="30A46C"/>
                <w:sz w:val="22"/>
              </w:rPr>
              <w:t>Positive</w:t>
            </w:r>
          </w:p>
        </w:tc>
      </w:tr>
      <w:tr>
        <w:tc>
          <w:tcPr>
            <w:tcW w:type="dxa" w:w="2160"/>
          </w:tcPr>
          <w:p>
            <w:r>
              <w:rPr>
                <w:rFonts w:ascii="Calibri" w:hAnsi="Calibri"/>
                <w:sz w:val="22"/>
              </w:rPr>
              <w:t>CNP</w:t>
            </w:r>
          </w:p>
        </w:tc>
        <w:tc>
          <w:tcPr>
            <w:tcW w:type="dxa" w:w="2160"/>
          </w:tcPr>
          <w:p>
            <w:r>
              <w:rPr>
                <w:rFonts w:ascii="Calibri" w:hAnsi="Calibri"/>
                <w:sz w:val="22"/>
              </w:rPr>
              <w:t>17 GW large load submissions; $1.2B capex increase without equity; $5B customer savings</w:t>
            </w:r>
          </w:p>
        </w:tc>
        <w:tc>
          <w:tcPr>
            <w:tcW w:type="dxa" w:w="2160"/>
          </w:tcPr>
          <w:p>
            <w:r>
              <w:rPr>
                <w:rFonts w:ascii="Calibri" w:hAnsi="Calibri"/>
                <w:sz w:val="22"/>
              </w:rPr>
              <w:t>Confirms demand durability; capex upside fundable without equity dilution</w:t>
            </w:r>
          </w:p>
        </w:tc>
        <w:tc>
          <w:tcPr>
            <w:tcW w:type="dxa" w:w="2160"/>
          </w:tcPr>
          <w:p>
            <w:r>
              <w:rPr>
                <w:rFonts w:ascii="Calibri" w:hAnsi="Calibri"/>
                <w:b/>
                <w:color w:val="30A46C"/>
                <w:sz w:val="22"/>
              </w:rPr>
              <w:t>Positive</w:t>
            </w:r>
          </w:p>
        </w:tc>
      </w:tr>
      <w:tr>
        <w:tc>
          <w:tcPr>
            <w:tcW w:type="dxa" w:w="2160"/>
          </w:tcPr>
          <w:p>
            <w:r>
              <w:rPr>
                <w:rFonts w:ascii="Calibri" w:hAnsi="Calibri"/>
                <w:sz w:val="22"/>
              </w:rPr>
              <w:t>DTE</w:t>
            </w:r>
          </w:p>
        </w:tc>
        <w:tc>
          <w:tcPr>
            <w:tcW w:type="dxa" w:w="2160"/>
          </w:tcPr>
          <w:p>
            <w:r>
              <w:rPr>
                <w:rFonts w:ascii="Calibri" w:hAnsi="Calibri"/>
                <w:sz w:val="22"/>
              </w:rPr>
              <w:t>2.4 GW executed; 5–6 GW pipeline; IRP Q3; rate case stay-out mechanism; $500–600M annual equity</w:t>
            </w:r>
          </w:p>
        </w:tc>
        <w:tc>
          <w:tcPr>
            <w:tcW w:type="dxa" w:w="2160"/>
          </w:tcPr>
          <w:p>
            <w:r>
              <w:rPr>
                <w:rFonts w:ascii="Calibri" w:hAnsi="Calibri"/>
                <w:sz w:val="22"/>
              </w:rPr>
              <w:t>Closest peer; validates AEE’s ESA pipeline, IRP timing, and equity execution pace</w:t>
            </w:r>
          </w:p>
        </w:tc>
        <w:tc>
          <w:tcPr>
            <w:tcW w:type="dxa" w:w="2160"/>
          </w:tcPr>
          <w:p>
            <w:r>
              <w:rPr>
                <w:rFonts w:ascii="Calibri" w:hAnsi="Calibri"/>
                <w:b/>
                <w:color w:val="30A46C"/>
                <w:sz w:val="22"/>
              </w:rPr>
              <w:t>Positive</w:t>
            </w:r>
          </w:p>
        </w:tc>
      </w:tr>
      <w:tr>
        <w:tc>
          <w:tcPr>
            <w:tcW w:type="dxa" w:w="2160"/>
          </w:tcPr>
          <w:p>
            <w:r>
              <w:rPr>
                <w:rFonts w:ascii="Calibri" w:hAnsi="Calibri"/>
                <w:sz w:val="22"/>
              </w:rPr>
              <w:t>ETR</w:t>
            </w:r>
          </w:p>
        </w:tc>
        <w:tc>
          <w:tcPr>
            <w:tcW w:type="dxa" w:w="2160"/>
          </w:tcPr>
          <w:p>
            <w:r>
              <w:rPr>
                <w:rFonts w:ascii="Calibri" w:hAnsi="Calibri"/>
                <w:sz w:val="22"/>
              </w:rPr>
              <w:t>7–12 GW hyperscale pipeline; 10% industrial sales growth; NIMBYism emerging; 60% equity contracted</w:t>
            </w:r>
          </w:p>
        </w:tc>
        <w:tc>
          <w:tcPr>
            <w:tcW w:type="dxa" w:w="2160"/>
          </w:tcPr>
          <w:p>
            <w:r>
              <w:rPr>
                <w:rFonts w:ascii="Calibri" w:hAnsi="Calibri"/>
                <w:sz w:val="22"/>
              </w:rPr>
              <w:t>Confirms sector demand; NIMBYism is a watch risk; proactive equity financing validated</w:t>
            </w:r>
          </w:p>
        </w:tc>
        <w:tc>
          <w:tcPr>
            <w:tcW w:type="dxa" w:w="2160"/>
          </w:tcPr>
          <w:p>
            <w:r>
              <w:rPr>
                <w:rFonts w:ascii="Calibri" w:hAnsi="Calibri"/>
                <w:sz w:val="22"/>
              </w:rPr>
              <w:t>Mostly Positive / Watch NIMBYism</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buys since Q1 earnings. The only transactions are two planned 10b5-1 sales by SVP Theresa Shaw (small, ~1,825 shares total) and one 10b5-1 sale by Group President Michael Moehn (6,500 shares). All are pre-planned and obligation-driven — no discretionary selling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 (Transaction)</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Michael L. Moehn</w:t>
            </w:r>
          </w:p>
        </w:tc>
        <w:tc>
          <w:tcPr>
            <w:tcW w:type="dxa" w:w="1440"/>
          </w:tcPr>
          <w:p>
            <w:r>
              <w:rPr>
                <w:rFonts w:ascii="Calibri" w:hAnsi="Calibri"/>
                <w:sz w:val="22"/>
              </w:rPr>
              <w:t>Group President, Utilities</w:t>
            </w:r>
          </w:p>
        </w:tc>
        <w:tc>
          <w:tcPr>
            <w:tcW w:type="dxa" w:w="1440"/>
          </w:tcPr>
          <w:p>
            <w:r>
              <w:rPr>
                <w:rFonts w:ascii="Calibri" w:hAnsi="Calibri"/>
                <w:sz w:val="22"/>
              </w:rPr>
              <w:t>10b5-1 Planned Sale</w:t>
            </w:r>
          </w:p>
        </w:tc>
        <w:tc>
          <w:tcPr>
            <w:tcW w:type="dxa" w:w="1440"/>
          </w:tcPr>
          <w:p>
            <w:r>
              <w:rPr>
                <w:rFonts w:ascii="Calibri" w:hAnsi="Calibri"/>
                <w:sz w:val="22"/>
              </w:rPr>
              <w:t>6,500 shares</w:t>
            </w:r>
          </w:p>
        </w:tc>
        <w:tc>
          <w:tcPr>
            <w:tcW w:type="dxa" w:w="1440"/>
          </w:tcPr>
          <w:p>
            <w:r>
              <w:rPr>
                <w:rFonts w:ascii="Calibri" w:hAnsi="Calibri"/>
                <w:sz w:val="22"/>
              </w:rPr>
              <w:t>May 1, 2026</w:t>
            </w:r>
          </w:p>
        </w:tc>
        <w:tc>
          <w:tcPr>
            <w:tcW w:type="dxa" w:w="1440"/>
          </w:tcPr>
          <w:p>
            <w:r>
              <w:rPr>
                <w:rFonts w:ascii="Calibri" w:hAnsi="Calibri"/>
                <w:sz w:val="22"/>
              </w:rPr>
              <w:t>Pre-planned; 10b5-1 plan. Retained 205,598 shares post-sale (~97% of prior holdings). Not a discretionary signal.</w:t>
            </w:r>
          </w:p>
        </w:tc>
      </w:tr>
      <w:tr>
        <w:tc>
          <w:tcPr>
            <w:tcW w:type="dxa" w:w="1440"/>
          </w:tcPr>
          <w:p>
            <w:r>
              <w:rPr>
                <w:rFonts w:ascii="Calibri" w:hAnsi="Calibri"/>
                <w:sz w:val="22"/>
              </w:rPr>
              <w:t>Theresa A. Shaw</w:t>
            </w:r>
          </w:p>
        </w:tc>
        <w:tc>
          <w:tcPr>
            <w:tcW w:type="dxa" w:w="1440"/>
          </w:tcPr>
          <w:p>
            <w:r>
              <w:rPr>
                <w:rFonts w:ascii="Calibri" w:hAnsi="Calibri"/>
                <w:sz w:val="22"/>
              </w:rPr>
              <w:t>SVP and CATO</w:t>
            </w:r>
          </w:p>
        </w:tc>
        <w:tc>
          <w:tcPr>
            <w:tcW w:type="dxa" w:w="1440"/>
          </w:tcPr>
          <w:p>
            <w:r>
              <w:rPr>
                <w:rFonts w:ascii="Calibri" w:hAnsi="Calibri"/>
                <w:sz w:val="22"/>
              </w:rPr>
              <w:t>10b5-1 Planned Sale</w:t>
            </w:r>
          </w:p>
        </w:tc>
        <w:tc>
          <w:tcPr>
            <w:tcW w:type="dxa" w:w="1440"/>
          </w:tcPr>
          <w:p>
            <w:r>
              <w:rPr>
                <w:rFonts w:ascii="Calibri" w:hAnsi="Calibri"/>
                <w:sz w:val="22"/>
              </w:rPr>
              <w:t>1,500 shares</w:t>
            </w:r>
          </w:p>
        </w:tc>
        <w:tc>
          <w:tcPr>
            <w:tcW w:type="dxa" w:w="1440"/>
          </w:tcPr>
          <w:p>
            <w:r>
              <w:rPr>
                <w:rFonts w:ascii="Calibri" w:hAnsi="Calibri"/>
                <w:sz w:val="22"/>
              </w:rPr>
              <w:t>May 12, 2026</w:t>
            </w:r>
          </w:p>
        </w:tc>
        <w:tc>
          <w:tcPr>
            <w:tcW w:type="dxa" w:w="1440"/>
          </w:tcPr>
          <w:p>
            <w:r>
              <w:rPr>
                <w:rFonts w:ascii="Calibri" w:hAnsi="Calibri"/>
                <w:sz w:val="22"/>
              </w:rPr>
              <w:t>Pre-planned; 10b5-1 plan. Retained 32,943 shares post-sale.</w:t>
            </w:r>
          </w:p>
        </w:tc>
      </w:tr>
      <w:tr>
        <w:tc>
          <w:tcPr>
            <w:tcW w:type="dxa" w:w="1440"/>
          </w:tcPr>
          <w:p>
            <w:r>
              <w:rPr>
                <w:rFonts w:ascii="Calibri" w:hAnsi="Calibri"/>
                <w:sz w:val="22"/>
              </w:rPr>
              <w:t>Theresa A. Shaw</w:t>
            </w:r>
          </w:p>
        </w:tc>
        <w:tc>
          <w:tcPr>
            <w:tcW w:type="dxa" w:w="1440"/>
          </w:tcPr>
          <w:p>
            <w:r>
              <w:rPr>
                <w:rFonts w:ascii="Calibri" w:hAnsi="Calibri"/>
                <w:sz w:val="22"/>
              </w:rPr>
              <w:t>SVP and CATO</w:t>
            </w:r>
          </w:p>
        </w:tc>
        <w:tc>
          <w:tcPr>
            <w:tcW w:type="dxa" w:w="1440"/>
          </w:tcPr>
          <w:p>
            <w:r>
              <w:rPr>
                <w:rFonts w:ascii="Calibri" w:hAnsi="Calibri"/>
                <w:sz w:val="22"/>
              </w:rPr>
              <w:t>10b5-1 Planned Sale</w:t>
            </w:r>
          </w:p>
        </w:tc>
        <w:tc>
          <w:tcPr>
            <w:tcW w:type="dxa" w:w="1440"/>
          </w:tcPr>
          <w:p>
            <w:r>
              <w:rPr>
                <w:rFonts w:ascii="Calibri" w:hAnsi="Calibri"/>
                <w:sz w:val="22"/>
              </w:rPr>
              <w:t>325 shares</w:t>
            </w:r>
          </w:p>
        </w:tc>
        <w:tc>
          <w:tcPr>
            <w:tcW w:type="dxa" w:w="1440"/>
          </w:tcPr>
          <w:p>
            <w:r>
              <w:rPr>
                <w:rFonts w:ascii="Calibri" w:hAnsi="Calibri"/>
                <w:sz w:val="22"/>
              </w:rPr>
              <w:t>May 14, 2026</w:t>
            </w:r>
          </w:p>
        </w:tc>
        <w:tc>
          <w:tcPr>
            <w:tcW w:type="dxa" w:w="1440"/>
          </w:tcPr>
          <w:p>
            <w:r>
              <w:rPr>
                <w:rFonts w:ascii="Calibri" w:hAnsi="Calibri"/>
                <w:sz w:val="22"/>
              </w:rPr>
              <w:t>Pre-planned; 10b5-1 plan. Retained 32,618 shares post-sale.</w:t>
            </w:r>
          </w:p>
        </w:tc>
      </w:tr>
    </w:tbl>
    <w:p>
      <w:r>
        <w:rPr>
          <w:rFonts w:ascii="Calibri" w:hAnsi="Calibri"/>
          <w:i/>
          <w:color w:val="525866"/>
          <w:sz w:val="22"/>
        </w:rPr>
        <w:t>Source: SEC Form 4 Filings (Insider Transaction Data). Window: May 5, 2026 – July 29, 2026. Only open-market transactions and 10b5-1 planned sales are shown. No open-market purchases were filed in this period. No discretionary selling detected. The absence of insider buying is not unusual for a utility with a stable, predictable earnings profile.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