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~$1.50 vs. cons $1.48 (Q2'26, vs $1.43 Q2'25)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~$5.28B vs. cons $5.26B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load by 2030 (GW)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~65 GW vs. cons/prior 63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6.15</m:t>
              </m:r>
              <m:r>
                <m:rPr>
                  <m:sty m:val="p"/>
                </m:rPr>
                <m:t>–</m:t>
              </m:r>
            </m:oMath>
            <w:r>
              <w:t xml:space="preserve">6.45 (reaffirmed, tracking upper half) vs. cons ~$6.32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78B (2025–2029 plan; formal refresh deferred to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operating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&gt;9% vs. cons ~7–9% framework (through 2030; fulsome update in 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Texas SB6 / ERCOT interconnection timing (41 GW LOAs)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'greater clarity later this summer' vs. cons ~41 GW ERCOT pipeline; derisking event but resolution likely partial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Q2 is a seasonally small, largely pre-telegraphed print with the definitive capital/financing refresh explicitly deferred to Q3, so out-period math is neutral — no guidance raise to drive follow-through and no cut to force a fade. A modest EPS beat plus reaffirmed FY guide and another incremental load step-up should provide relief after the ~6% fade from the June $138.69 peak and the ~2% idiosyncratic drop into the print (AEP -2.1% vs XLU -1.2% on 7/29), but upside is capped as investors wait for the Q3 catalyst. Risks to the flat-to-slightly-positive drift: PJM interconnection uncertainty and Ohio affordability/rate-freeze politics.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2026-07-29T18:21:23Z</dcterms:created>
  <dcterms:modified xsi:type="dcterms:W3CDTF">2026-07-29T18:21:23Z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