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AEP before writing the preview. Let me start by gathering recent earnings materials, filings, and news.Let me read the latest earnings materials (Q1 2026) and get the Q1 2025 comparison for context, plus recent news.I have strong context from Q1 2026. Now let me gather recent news, stock price performance, and check for any Q2-specific developments and analyst expectations.Let me quickly check the board 8-K and get last year's Q2 figures for a YoY comparison, plus consensus expectations.I now have what I need. Here's the earnings preview.</w:t>
      </w:r>
    </w:p>
    <w:p>
      <w:r>
        <w:pict>
          <v:rect style="width:0;height:1.5pt" o:hralign="center" o:hrstd="t" o:hr="t"/>
        </w:pict>
      </w:r>
    </w:p>
    <w:bookmarkStart w:id="15" w:name="X4adbd76862dc2f0bbcc5dfebf9426b677b5516b"/>
    <w:p>
      <w:pPr>
        <w:pStyle w:val="Heading1"/>
      </w:pPr>
      <w:r>
        <w:t xml:space="preserve">American Electric Power (AEP) — Q2 2026 Earnings Preview</w:t>
      </w:r>
    </w:p>
    <w:p>
      <w:pPr>
        <w:pStyle w:val="FirstParagraph"/>
      </w:pPr>
      <w:r>
        <w:rPr>
          <w:b/>
          <w:bCs/>
        </w:rPr>
        <w:t xml:space="preserve">Report date:</w:t>
      </w:r>
      <w:r>
        <w:t xml:space="preserve"> </w:t>
      </w:r>
      <w:r>
        <w:t xml:space="preserve">Thursday, July 30, 2026 (before market open) ·</w:t>
      </w:r>
      <w:r>
        <w:t xml:space="preserve"> </w:t>
      </w:r>
      <w:r>
        <w:rPr>
          <w:b/>
          <w:bCs/>
        </w:rPr>
        <w:t xml:space="preserve">Call:</w:t>
      </w:r>
      <w:r>
        <w:t xml:space="preserve"> </w:t>
      </w:r>
      <w:r>
        <w:t xml:space="preserve">9:00 a.m. ET ·</w:t>
      </w:r>
      <w:r>
        <w:t xml:space="preserve"> </w:t>
      </w:r>
      <w:r>
        <w:rPr>
          <w:b/>
          <w:bCs/>
        </w:rPr>
        <w:t xml:space="preserve">Event:</w:t>
      </w:r>
      <w:r>
        <w:t xml:space="preserve"> </w:t>
      </w:r>
      <w:r>
        <w:t xml:space="preserve">2026Q2 Earnings Call</w:t>
      </w:r>
    </w:p>
    <w:bookmarkStart w:id="9" w:name="the-one-line-setup"/>
    <w:p>
      <w:pPr>
        <w:pStyle w:val="Heading2"/>
      </w:pPr>
      <w:r>
        <w:t xml:space="preserve">The one-line setup</w:t>
      </w:r>
    </w:p>
    <w:p>
      <w:pPr>
        <w:pStyle w:val="FirstParagraph"/>
      </w:pPr>
      <w:r>
        <w:t xml:space="preserve">This is likely to be a "read-through to the Q3 blockbuster" quarter. Management has explicitly deferred its big capital-plan/financing refresh — including 2031 opportunities and the roll-in of upside projects — to the</w:t>
      </w:r>
      <w:r>
        <w:t xml:space="preserve"> </w:t>
      </w:r>
      <w:r>
        <w:rPr>
          <w:b/>
          <w:bCs/>
        </w:rPr>
        <w:t xml:space="preserve">Q3 call</w:t>
      </w:r>
      <w:r>
        <w:t xml:space="preserve">. That means Q2 numbers should be a routine seasonal print, and the stock reaction will hinge more on</w:t>
      </w:r>
      <w:r>
        <w:t xml:space="preserve"> </w:t>
      </w:r>
      <w:r>
        <w:rPr>
          <w:b/>
          <w:bCs/>
        </w:rPr>
        <w:t xml:space="preserve">incremental load signings, the PJM/SPP interconnection strategy, Texas SB6 clarity, and affordability politics</w:t>
      </w:r>
      <w:r>
        <w:t xml:space="preserve"> </w:t>
      </w:r>
      <w:r>
        <w:t xml:space="preserve">than on the EPS line itself.</w:t>
      </w:r>
    </w:p>
    <w:bookmarkEnd w:id="9"/>
    <w:bookmarkStart w:id="10" w:name="what-the-street-expects"/>
    <w:p>
      <w:pPr>
        <w:pStyle w:val="Heading2"/>
      </w:pPr>
      <w:r>
        <w:t xml:space="preserve">What the Street expects</w:t>
      </w:r>
    </w:p>
    <w:p>
      <w:pPr>
        <w:pStyle w:val="Compact"/>
        <w:numPr>
          <w:ilvl w:val="0"/>
          <w:numId w:val="1001"/>
        </w:numPr>
      </w:pPr>
      <w:r>
        <w:rPr>
          <w:b/>
          <w:bCs/>
        </w:rPr>
        <w:t xml:space="preserve">Operating EPS:</w:t>
      </w:r>
      <w:r>
        <w:t xml:space="preserve"> </w:t>
      </w:r>
      <w:r>
        <w:t xml:space="preserve">~</w:t>
      </w:r>
      <m:oMath>
        <m:r>
          <m:t>1.48</m:t>
        </m:r>
        <m:r>
          <m:rPr>
            <m:sty m:val="p"/>
          </m:rPr>
          <m:t>–</m:t>
        </m:r>
      </m:oMath>
      <w:r>
        <w:rPr>
          <w:b/>
          <w:bCs/>
        </w:rPr>
        <w:t xml:space="preserve">1.49</w:t>
      </w:r>
      <w:r>
        <w:t xml:space="preserve">, up roughly **~4%** vs.</w:t>
      </w:r>
      <w:r>
        <w:t xml:space="preserve"> </w:t>
      </w:r>
      <w:r>
        <w:rPr>
          <w:b/>
          <w:bCs/>
        </w:rPr>
        <w:t xml:space="preserve">$1.43</w:t>
      </w:r>
      <w:r>
        <w:t xml:space="preserve"> </w:t>
      </w:r>
      <w:r>
        <w:t xml:space="preserve">in Q2 2025 (Zacks/Barchart consensus). Q2 is a seasonally smaller quarter for AEP.</w:t>
      </w:r>
    </w:p>
    <w:p>
      <w:pPr>
        <w:pStyle w:val="Compact"/>
        <w:numPr>
          <w:ilvl w:val="0"/>
          <w:numId w:val="1001"/>
        </w:numPr>
      </w:pPr>
      <w:r>
        <w:rPr>
          <w:b/>
          <w:bCs/>
        </w:rPr>
        <w:t xml:space="preserve">Revenue:</w:t>
      </w:r>
      <w:r>
        <w:t xml:space="preserve"> </w:t>
      </w:r>
      <w:r>
        <w:t xml:space="preserve">~</w:t>
      </w:r>
      <w:r>
        <w:rPr>
          <w:b/>
          <w:bCs/>
        </w:rPr>
        <w:t xml:space="preserve">$5.26B</w:t>
      </w:r>
      <w:r>
        <w:t xml:space="preserve">, up ~3.4% YoY.</w:t>
      </w:r>
    </w:p>
    <w:p>
      <w:pPr>
        <w:pStyle w:val="Compact"/>
        <w:numPr>
          <w:ilvl w:val="0"/>
          <w:numId w:val="1001"/>
        </w:numPr>
      </w:pPr>
      <w:r>
        <w:t xml:space="preserve">Track record: AEP has beaten EPS in three of the last four quarters; Zacks' pre-report model flags a slightly negative Earnings ESP (-0.36%), so a large upside surprise isn't being telegraphed.</w:t>
      </w:r>
    </w:p>
    <w:p>
      <w:pPr>
        <w:pStyle w:val="Compact"/>
        <w:numPr>
          <w:ilvl w:val="0"/>
          <w:numId w:val="1001"/>
        </w:numPr>
      </w:pPr>
      <w:r>
        <w:rPr>
          <w:b/>
          <w:bCs/>
        </w:rPr>
        <w:t xml:space="preserve">Full-year guidance:</w:t>
      </w:r>
      <w:r>
        <w:t xml:space="preserve"> </w:t>
      </w:r>
      <m:oMath>
        <m:r>
          <m:t>6.15</m:t>
        </m:r>
        <m:r>
          <m:rPr>
            <m:sty m:val="p"/>
          </m:rPr>
          <m:t>–</m:t>
        </m:r>
      </m:oMath>
      <w:r>
        <w:t xml:space="preserve">6.45 operating EPS (reaffirmed at Q1). Watch whether management reaffirms again and where they hint they're tracking within the range — Q1 came in strong at</w:t>
      </w:r>
      <w:r>
        <w:t xml:space="preserve"> </w:t>
      </w:r>
      <w:r>
        <w:rPr>
          <w:b/>
          <w:bCs/>
        </w:rPr>
        <w:t xml:space="preserve">$1.64 vs. $1.54</w:t>
      </w:r>
      <w:r>
        <w:t xml:space="preserve"> </w:t>
      </w:r>
      <w:r>
        <w:t xml:space="preserve">a year ago.</w:t>
      </w:r>
    </w:p>
    <w:bookmarkEnd w:id="10"/>
    <w:bookmarkStart w:id="11" w:name="X3e5d3be4b810b07955b80659d97653bc75704f7"/>
    <w:p>
      <w:pPr>
        <w:pStyle w:val="Heading2"/>
      </w:pPr>
      <w:r>
        <w:t xml:space="preserve">Why the quarter matters less than the narrative</w:t>
      </w:r>
    </w:p>
    <w:p>
      <w:pPr>
        <w:pStyle w:val="FirstParagraph"/>
      </w:pPr>
      <w:r>
        <w:t xml:space="preserve">AEP has repositioned itself as one of the premier data-center/AI-demand plays in the utility space, and the last two quarters delivered a steady drumbeat of upgrades:</w:t>
      </w:r>
    </w:p>
    <w:p>
      <w:pPr>
        <w:pStyle w:val="Compact"/>
        <w:numPr>
          <w:ilvl w:val="0"/>
          <w:numId w:val="1002"/>
        </w:numPr>
      </w:pPr>
      <w:r>
        <w:rPr>
          <w:b/>
          <w:bCs/>
        </w:rPr>
        <w:t xml:space="preserve">Contracted load:</w:t>
      </w:r>
      <w:r>
        <w:t xml:space="preserve"> </w:t>
      </w:r>
      <w:r>
        <w:t xml:space="preserve">jumped to</w:t>
      </w:r>
      <w:r>
        <w:t xml:space="preserve"> </w:t>
      </w:r>
      <w:r>
        <w:rPr>
          <w:b/>
          <w:bCs/>
        </w:rPr>
        <w:t xml:space="preserve">63 GW by 2030</w:t>
      </w:r>
      <w:r>
        <w:t xml:space="preserve"> </w:t>
      </w:r>
      <w:r>
        <w:t xml:space="preserve">at Q1 (from 56 GW the prior quarter, and ~28 GW last fall). ~90% is data centers/hyperscalers. Composition:</w:t>
      </w:r>
      <w:r>
        <w:t xml:space="preserve"> </w:t>
      </w:r>
      <w:r>
        <w:rPr>
          <w:b/>
          <w:bCs/>
        </w:rPr>
        <w:t xml:space="preserve">41 GW ERCOT</w:t>
      </w:r>
      <w:r>
        <w:t xml:space="preserve"> </w:t>
      </w:r>
      <w:r>
        <w:t xml:space="preserve">(LOAs under Texas SB6), plus PJM and SPP take-or-pay ESAs.</w:t>
      </w:r>
      <w:r>
        <w:t xml:space="preserve"> </w:t>
      </w:r>
      <w:r>
        <w:rPr>
          <w:b/>
          <w:bCs/>
        </w:rPr>
        <w:t xml:space="preserve">Watch for another step-up</w:t>
      </w:r>
      <w:r>
        <w:t xml:space="preserve"> </w:t>
      </w:r>
      <w:r>
        <w:t xml:space="preserve">— any move above 63 GW, or conversion of the Piketon (10 GW SB Energy) and Putnam County, WV (Google) opportunities into the forecast, would be the headline.</w:t>
      </w:r>
    </w:p>
    <w:p>
      <w:pPr>
        <w:pStyle w:val="Compact"/>
        <w:numPr>
          <w:ilvl w:val="0"/>
          <w:numId w:val="1002"/>
        </w:numPr>
      </w:pPr>
      <w:r>
        <w:rPr>
          <w:b/>
          <w:bCs/>
        </w:rPr>
        <w:t xml:space="preserve">Capital plan:</w:t>
      </w:r>
      <w:r>
        <w:t xml:space="preserve"> </w:t>
      </w:r>
      <w:r>
        <w:t xml:space="preserve">raised to</w:t>
      </w:r>
      <w:r>
        <w:t xml:space="preserve"> </w:t>
      </w:r>
      <w:r>
        <w:rPr>
          <w:b/>
          <w:bCs/>
        </w:rPr>
        <w:t xml:space="preserve">$78B</w:t>
      </w:r>
      <w:r>
        <w:t xml:space="preserve"> </w:t>
      </w:r>
      <w:r>
        <w:t xml:space="preserve">(from</w:t>
      </w:r>
      <w:r>
        <w:t xml:space="preserve"> </w:t>
      </w:r>
      <m:oMath>
        <m:r>
          <m:t>72</m:t>
        </m:r>
        <m:r>
          <m:t>B</m:t>
        </m:r>
        <m:r>
          <m:rPr>
            <m:sty m:val="p"/>
          </m:rPr>
          <m:t>)</m:t>
        </m:r>
        <m:r>
          <m:t>a</m:t>
        </m:r>
        <m:r>
          <m:t>t</m:t>
        </m:r>
        <m:r>
          <m:t>Q</m:t>
        </m:r>
        <m:r>
          <m:t>1</m:t>
        </m:r>
        <m:r>
          <m:rPr>
            <m:sty m:val="p"/>
          </m:rPr>
          <m:t>,</m:t>
        </m:r>
        <m:r>
          <m:t>d</m:t>
        </m:r>
        <m:r>
          <m:t>r</m:t>
        </m:r>
        <m:r>
          <m:t>i</m:t>
        </m:r>
        <m:r>
          <m:t>v</m:t>
        </m:r>
        <m:r>
          <m:t>i</m:t>
        </m:r>
        <m:r>
          <m:t>n</m:t>
        </m:r>
        <m:r>
          <m:t>g</m:t>
        </m:r>
        <m:r>
          <m:t> </m:t>
        </m:r>
        <m:r>
          <m:rPr>
            <m:sty m:val="p"/>
          </m:rPr>
          <m:t>*</m:t>
        </m:r>
        <m:r>
          <m:rPr>
            <m:sty m:val="p"/>
          </m:rPr>
          <m:t>*</m:t>
        </m:r>
        <m:r>
          <m:t>11</m:t>
        </m:r>
      </m:oMath>
      <w:r>
        <w:t xml:space="preserve">10B of "line-of-sight" projects** not yet in the plan. The formal, fulsome update comes in Q3 — so expect Q2 to preview, not resolve.</w:t>
      </w:r>
    </w:p>
    <w:p>
      <w:pPr>
        <w:pStyle w:val="Compact"/>
        <w:numPr>
          <w:ilvl w:val="0"/>
          <w:numId w:val="1002"/>
        </w:numPr>
      </w:pPr>
      <w:r>
        <w:rPr>
          <w:b/>
          <w:bCs/>
        </w:rPr>
        <w:t xml:space="preserve">Transmission franchise:</w:t>
      </w:r>
      <w:r>
        <w:t xml:space="preserve"> </w:t>
      </w:r>
      <w:r>
        <w:t xml:space="preserve">$33B / 42% of the plan; recent 765-kV awards across SPP, PJM and a new MISO project into Wisconsin; the Quanta Services construction partnership.</w:t>
      </w:r>
    </w:p>
    <w:p>
      <w:pPr>
        <w:pStyle w:val="Compact"/>
        <w:numPr>
          <w:ilvl w:val="0"/>
          <w:numId w:val="1002"/>
        </w:numPr>
      </w:pPr>
      <w:r>
        <w:rPr>
          <w:b/>
          <w:bCs/>
        </w:rPr>
        <w:t xml:space="preserve">Generation:</w:t>
      </w:r>
      <w:r>
        <w:t xml:space="preserve"> </w:t>
      </w:r>
      <w:r>
        <w:t xml:space="preserve">$24B outlook; &gt;10 GW of gas turbines secured (Mitsubishi/GE); nuclear under study.</w:t>
      </w:r>
    </w:p>
    <w:bookmarkEnd w:id="11"/>
    <w:bookmarkStart w:id="12" w:name="key-watch-items-for-the-q2-call"/>
    <w:p>
      <w:pPr>
        <w:pStyle w:val="Heading2"/>
      </w:pPr>
      <w:r>
        <w:t xml:space="preserve">Key watch items for the Q2 call</w:t>
      </w:r>
    </w:p>
    <w:p>
      <w:pPr>
        <w:pStyle w:val="Compact"/>
        <w:numPr>
          <w:ilvl w:val="0"/>
          <w:numId w:val="1003"/>
        </w:numPr>
      </w:pPr>
      <w:r>
        <w:rPr>
          <w:b/>
          <w:bCs/>
        </w:rPr>
        <w:t xml:space="preserve">PJM (and SPP) strategy.</w:t>
      </w:r>
      <w:r>
        <w:t xml:space="preserve"> </w:t>
      </w:r>
      <w:r>
        <w:t xml:space="preserve">CEO Bill Fehrman was unusually blunt at Q1 that PJM's interconnection/approval process is too slow and that AEP is "assessing all options" (without committing to exit). Expect analysts to press again on timeline, the reliability-backstop/RPG process, and whether AEP would pursue a Genco-style structure (e.g., in West Virginia). Any escalation or de-escalation of this rhetoric is a catalyst.</w:t>
      </w:r>
    </w:p>
    <w:p>
      <w:pPr>
        <w:pStyle w:val="Compact"/>
        <w:numPr>
          <w:ilvl w:val="0"/>
          <w:numId w:val="1003"/>
        </w:numPr>
      </w:pPr>
      <w:r>
        <w:rPr>
          <w:b/>
          <w:bCs/>
        </w:rPr>
        <w:t xml:space="preserve">Texas SB6 implementation.</w:t>
      </w:r>
      <w:r>
        <w:t xml:space="preserve"> </w:t>
      </w:r>
      <w:r>
        <w:t xml:space="preserve">Management guided to "greater clarity later this summer" on interconnection timing for the 41 GW of ERCOT load. This quarter/call sits right in that window — a key derisking event for the largest chunk of the load pipeline.</w:t>
      </w:r>
    </w:p>
    <w:p>
      <w:pPr>
        <w:pStyle w:val="Compact"/>
        <w:numPr>
          <w:ilvl w:val="0"/>
          <w:numId w:val="1003"/>
        </w:numPr>
      </w:pPr>
      <w:r>
        <w:rPr>
          <w:b/>
          <w:bCs/>
        </w:rPr>
        <w:t xml:space="preserve">Wyoming fuel-cell (Bloom) project.</w:t>
      </w:r>
      <w:r>
        <w:t xml:space="preserve"> </w:t>
      </w:r>
      <w:r>
        <w:t xml:space="preserve">Had an end-of-Q2 gating deadline; AEP said it is "protected" with a ~110% put-back to the hyperscaler. Look for resolution or extension.</w:t>
      </w:r>
    </w:p>
    <w:p>
      <w:pPr>
        <w:pStyle w:val="Compact"/>
        <w:numPr>
          <w:ilvl w:val="0"/>
          <w:numId w:val="1003"/>
        </w:numPr>
      </w:pPr>
      <w:r>
        <w:rPr>
          <w:b/>
          <w:bCs/>
        </w:rPr>
        <w:t xml:space="preserve">Balance sheet / equity.</w:t>
      </w:r>
      <w:r>
        <w:t xml:space="preserve"> </w:t>
      </w:r>
      <w:r>
        <w:t xml:space="preserve">AEP pre-funded ~2/3 of 2026 equity via a</w:t>
      </w:r>
      <w:r>
        <w:t xml:space="preserve"> </w:t>
      </w:r>
      <m:oMath>
        <m:r>
          <m:t>665</m:t>
        </m:r>
        <m:r>
          <m:t>M</m:t>
        </m:r>
        <m:r>
          <m:t>A</m:t>
        </m:r>
        <m:r>
          <m:t>T</m:t>
        </m:r>
        <m:r>
          <m:t>M</m:t>
        </m:r>
        <m:r>
          <m:t>a</m:t>
        </m:r>
        <m:r>
          <m:t>t</m:t>
        </m:r>
        <m:r>
          <m:t> </m:t>
        </m:r>
      </m:oMath>
      <w:r>
        <w:t xml:space="preserve">131 avg. Incremental equity is only 18% of the $6B plan add. FFO/debt was 14.7% (S&amp;P) / 13.9% (Moody's) — the Moody's metric sits just below the 14–15% target, so credit commentary matters as capex climbs.</w:t>
      </w:r>
    </w:p>
    <w:p>
      <w:pPr>
        <w:pStyle w:val="Compact"/>
        <w:numPr>
          <w:ilvl w:val="0"/>
          <w:numId w:val="1003"/>
        </w:numPr>
      </w:pPr>
      <w:r>
        <w:rPr>
          <w:b/>
          <w:bCs/>
        </w:rPr>
        <w:t xml:space="preserve">Affordability / regulatory politics.</w:t>
      </w:r>
      <w:r>
        <w:t xml:space="preserve"> </w:t>
      </w:r>
      <w:r>
        <w:t xml:space="preserve">AEP touts up to</w:t>
      </w:r>
      <w:r>
        <w:t xml:space="preserve"> </w:t>
      </w:r>
      <w:r>
        <w:rPr>
          <w:b/>
          <w:bCs/>
        </w:rPr>
        <w:t xml:space="preserve">$16B in cost offsets</w:t>
      </w:r>
      <w:r>
        <w:t xml:space="preserve"> </w:t>
      </w:r>
      <w:r>
        <w:t xml:space="preserve">for existing customers and a string of constructive rate outcomes (Ohio, West Virginia, Arkansas, Indiana). Offsetting risk: an</w:t>
      </w:r>
      <w:r>
        <w:t xml:space="preserve"> </w:t>
      </w:r>
      <w:r>
        <w:rPr>
          <w:b/>
          <w:bCs/>
        </w:rPr>
        <w:t xml:space="preserve">Ohio bill to freeze utility rate increases for a year</w:t>
      </w:r>
      <w:r>
        <w:t xml:space="preserve"> </w:t>
      </w:r>
      <w:r>
        <w:t xml:space="preserve">has surfaced amid public backlash over rising bills — a headline risk for the T&amp;D franchise.</w:t>
      </w:r>
    </w:p>
    <w:p>
      <w:pPr>
        <w:pStyle w:val="Compact"/>
        <w:numPr>
          <w:ilvl w:val="0"/>
          <w:numId w:val="1003"/>
        </w:numPr>
      </w:pPr>
      <w:r>
        <w:rPr>
          <w:b/>
          <w:bCs/>
        </w:rPr>
        <w:t xml:space="preserve">Weather comps.</w:t>
      </w:r>
      <w:r>
        <w:t xml:space="preserve"> </w:t>
      </w:r>
      <w:r>
        <w:t xml:space="preserve">Q1 noted prior-year favorable weather as a headwind to YoY comparisons; summer cooling demand in Q2 will influence the residential/commercial sales mix (Q1 already showed strong commercial volumes, weaker residential).</w:t>
      </w:r>
    </w:p>
    <w:p>
      <w:pPr>
        <w:pStyle w:val="Compact"/>
        <w:numPr>
          <w:ilvl w:val="0"/>
          <w:numId w:val="1003"/>
        </w:numPr>
      </w:pPr>
      <w:r>
        <w:rPr>
          <w:b/>
          <w:bCs/>
        </w:rPr>
        <w:t xml:space="preserve">New board members</w:t>
      </w:r>
      <w:r>
        <w:t xml:space="preserve"> </w:t>
      </w:r>
      <w:r>
        <w:t xml:space="preserve">(from Marriott and, notably,</w:t>
      </w:r>
      <w:r>
        <w:t xml:space="preserve"> </w:t>
      </w:r>
      <w:r>
        <w:rPr>
          <w:b/>
          <w:bCs/>
        </w:rPr>
        <w:t xml:space="preserve">Equinix</w:t>
      </w:r>
      <w:r>
        <w:t xml:space="preserve"> </w:t>
      </w:r>
      <w:r>
        <w:t xml:space="preserve">— a data-center operator) were added July 21, reinforcing the data-center-centric strategy narrative.</w:t>
      </w:r>
    </w:p>
    <w:bookmarkEnd w:id="12"/>
    <w:bookmarkStart w:id="13" w:name="stock-context"/>
    <w:p>
      <w:pPr>
        <w:pStyle w:val="Heading2"/>
      </w:pPr>
      <w:r>
        <w:t xml:space="preserve">Stock context</w:t>
      </w:r>
    </w:p>
    <w:p>
      <w:pPr>
        <w:pStyle w:val="FirstParagraph"/>
      </w:pPr>
      <w:r>
        <w:t xml:space="preserve">AEP has been a relative winner in 2026: shares rose from ~</w:t>
      </w:r>
      <m:oMath>
        <m:r>
          <m:t>116</m:t>
        </m:r>
        <m:r>
          <m:t>i</m:t>
        </m:r>
        <m:r>
          <m:t>n</m:t>
        </m:r>
        <m:r>
          <m:t>e</m:t>
        </m:r>
        <m:r>
          <m:t>a</m:t>
        </m:r>
        <m:r>
          <m:t>r</m:t>
        </m:r>
        <m:r>
          <m:t>l</m:t>
        </m:r>
        <m:r>
          <m:t>y</m:t>
        </m:r>
        <m:r>
          <m:t>J</m:t>
        </m:r>
        <m:r>
          <m:t>a</m:t>
        </m:r>
        <m:r>
          <m:t>n</m:t>
        </m:r>
        <m:r>
          <m:t>u</m:t>
        </m:r>
        <m:r>
          <m:t>a</m:t>
        </m:r>
        <m:r>
          <m:t>r</m:t>
        </m:r>
        <m:r>
          <m:t>y</m:t>
        </m:r>
        <m:r>
          <m:t>t</m:t>
        </m:r>
        <m:r>
          <m:t>o</m:t>
        </m:r>
        <m:r>
          <m:t>a</m:t>
        </m:r>
        <m:r>
          <m:t>p</m:t>
        </m:r>
        <m:r>
          <m:t>e</m:t>
        </m:r>
        <m:r>
          <m:t>a</m:t>
        </m:r>
        <m:r>
          <m:t>k</m:t>
        </m:r>
        <m:r>
          <m:t>n</m:t>
        </m:r>
        <m:r>
          <m:t>e</m:t>
        </m:r>
        <m:r>
          <m:t>a</m:t>
        </m:r>
        <m:r>
          <m:t>r</m:t>
        </m:r>
        <m:r>
          <m:rPr>
            <m:sty m:val="p"/>
          </m:rPr>
          <m:t>*</m:t>
        </m:r>
        <m:r>
          <m:rPr>
            <m:sty m:val="p"/>
          </m:rPr>
          <m:t>*</m:t>
        </m:r>
      </m:oMath>
      <w:r>
        <w:t xml:space="preserve">138.69 (June 26)</w:t>
      </w:r>
      <w:r>
        <w:rPr>
          <w:b/>
          <w:bCs/>
        </w:rPr>
        <w:t xml:space="preserve">, but have since pulled back ~6% to **~$130</w:t>
      </w:r>
      <w:r>
        <w:t xml:space="preserve"> </w:t>
      </w:r>
      <w:r>
        <w:t xml:space="preserve">into the print. Year-to-date the stock is up roughly</w:t>
      </w:r>
      <w:r>
        <w:t xml:space="preserve"> </w:t>
      </w:r>
      <w:r>
        <w:rPr>
          <w:b/>
          <w:bCs/>
        </w:rPr>
        <w:t xml:space="preserve">+12%</w:t>
      </w:r>
      <w:r>
        <w:t xml:space="preserve">, outpacing the utilities sector (XLU roughly +4% over the same span) as investors lean into utilities as a "backdoor AI/data-center" trade. The recent fade into earnings suggests some profit-taking and a market waiting for the Q3 capital-plan reveal.</w:t>
      </w:r>
    </w:p>
    <w:bookmarkEnd w:id="13"/>
    <w:bookmarkStart w:id="14" w:name="bottom-line"/>
    <w:p>
      <w:pPr>
        <w:pStyle w:val="Heading2"/>
      </w:pPr>
      <w:r>
        <w:t xml:space="preserve">Bottom line</w:t>
      </w:r>
    </w:p>
    <w:p>
      <w:pPr>
        <w:pStyle w:val="FirstParagraph"/>
      </w:pPr>
      <w:r>
        <w:t xml:space="preserve">Expect a</w:t>
      </w:r>
      <w:r>
        <w:t xml:space="preserve"> </w:t>
      </w:r>
      <w:r>
        <w:rPr>
          <w:b/>
          <w:bCs/>
        </w:rPr>
        <w:t xml:space="preserve">modest, in-line-to-slightly-better</w:t>
      </w:r>
      <w:r>
        <w:t xml:space="preserve"> </w:t>
      </w:r>
      <w:r>
        <w:t xml:space="preserve">Q2 EPS print (~</w:t>
      </w:r>
      <m:oMath>
        <m:r>
          <m:t>1.48</m:t>
        </m:r>
        <m:r>
          <m:rPr>
            <m:sty m:val="p"/>
          </m:rPr>
          <m:t>–</m:t>
        </m:r>
      </m:oMath>
      <w:r>
        <w:t xml:space="preserve">1.49) with guidance reaffirmed. The stock-moving content is qualitative:</w:t>
      </w:r>
      <w:r>
        <w:t xml:space="preserve"> </w:t>
      </w:r>
      <w:r>
        <w:rPr>
          <w:b/>
          <w:bCs/>
        </w:rPr>
        <w:t xml:space="preserve">another load upgrade, Texas SB6 timing clarity, the PJM decision path, and affordability/regulatory tone.</w:t>
      </w:r>
      <w:r>
        <w:t xml:space="preserve"> </w:t>
      </w:r>
      <w:r>
        <w:t xml:space="preserve">With the definitive capital and financing refresh reserved for Q3, treat this call as a checkpoint on execution and a setup for the larger catalyst next quarter. Risks skew toward (a) any softening of the load-growth trajectory, (b) PJM uncertainty dragging on, and (c) affordability/political pushback (e.g., Ohio rate-freeze proposals) pressuring the regulated recovery story.</w:t>
      </w:r>
    </w:p>
    <w:p>
      <w:r>
        <w:pict>
          <v:rect style="width:0;height:1.5pt" o:hralign="center" o:hrstd="t" o:hr="t"/>
        </w:pict>
      </w:r>
    </w:p>
    <w:p>
      <w:pPr>
        <w:pStyle w:val="FirstParagraph"/>
      </w:pPr>
      <w:r>
        <w:rPr>
          <w:i/>
          <w:iCs/>
        </w:rPr>
        <w:t xml:space="preserve">Note: Figures above are drawn from AEP's Q1 2026 results and call (May 5, 2026), the FY2026 guidance reaffirmation, recent news/8-K filings, market pricing through July 29, 2026, and published consensus estimates. Actual Q2 results and any new disclosures will supersede these expectations.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2026-07-29T18:21:23Z</dcterms:created>
  <dcterms:modified xsi:type="dcterms:W3CDTF">2026-07-29T18:21:23Z</dcterms:modified>
</cp:coreProperties>
</file>

<file path=docProps/custom.xml><?xml version="1.0" encoding="utf-8"?>
<Properties xmlns="http://schemas.openxmlformats.org/officeDocument/2006/custom-properties" xmlns:vt="http://schemas.openxmlformats.org/officeDocument/2006/docPropsVTypes"/>
</file>